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3881" w14:textId="7B764A7E" w:rsidR="00E831B0" w:rsidRDefault="00591C34" w:rsidP="007B2F93">
      <w:pPr>
        <w:rPr>
          <w:rFonts w:ascii="Times New Roman" w:hAnsi="Times New Roman" w:cs="Times New Roman"/>
          <w:b/>
          <w:bCs/>
          <w:sz w:val="48"/>
          <w:szCs w:val="48"/>
        </w:rPr>
      </w:pPr>
      <w:r>
        <w:rPr>
          <w:rFonts w:ascii="Times New Roman" w:hAnsi="Times New Roman" w:cs="Times New Roman"/>
          <w:b/>
          <w:bCs/>
          <w:sz w:val="48"/>
          <w:szCs w:val="48"/>
        </w:rPr>
        <w:t xml:space="preserve">A </w:t>
      </w:r>
      <w:r w:rsidR="007B2F93" w:rsidRPr="00E831B0">
        <w:rPr>
          <w:rFonts w:ascii="Times New Roman" w:hAnsi="Times New Roman" w:cs="Times New Roman"/>
          <w:b/>
          <w:bCs/>
          <w:sz w:val="48"/>
          <w:szCs w:val="48"/>
        </w:rPr>
        <w:t xml:space="preserve">View from the Bench: </w:t>
      </w:r>
    </w:p>
    <w:p w14:paraId="30ECCE9C" w14:textId="78016875" w:rsidR="007B2F93" w:rsidRDefault="007B2F93" w:rsidP="007B2F93">
      <w:pPr>
        <w:rPr>
          <w:rFonts w:ascii="Times New Roman" w:hAnsi="Times New Roman" w:cs="Times New Roman"/>
          <w:b/>
          <w:bCs/>
          <w:sz w:val="48"/>
          <w:szCs w:val="48"/>
        </w:rPr>
      </w:pPr>
      <w:r w:rsidRPr="00E831B0">
        <w:rPr>
          <w:rFonts w:ascii="Times New Roman" w:hAnsi="Times New Roman" w:cs="Times New Roman"/>
          <w:b/>
          <w:bCs/>
          <w:sz w:val="48"/>
          <w:szCs w:val="48"/>
        </w:rPr>
        <w:t>Practical Insights on Small Business, Real Estate, and Sub</w:t>
      </w:r>
      <w:r w:rsidR="00B23E52" w:rsidRPr="00E831B0">
        <w:rPr>
          <w:rFonts w:ascii="Times New Roman" w:hAnsi="Times New Roman" w:cs="Times New Roman"/>
          <w:b/>
          <w:bCs/>
          <w:sz w:val="48"/>
          <w:szCs w:val="48"/>
        </w:rPr>
        <w:t>c</w:t>
      </w:r>
      <w:r w:rsidRPr="00E831B0">
        <w:rPr>
          <w:rFonts w:ascii="Times New Roman" w:hAnsi="Times New Roman" w:cs="Times New Roman"/>
          <w:b/>
          <w:bCs/>
          <w:sz w:val="48"/>
          <w:szCs w:val="48"/>
        </w:rPr>
        <w:t xml:space="preserve">hapter V proceedings.  </w:t>
      </w:r>
    </w:p>
    <w:p w14:paraId="3A35F14E" w14:textId="77777777" w:rsidR="00E831B0" w:rsidRDefault="00E831B0" w:rsidP="007B2F93">
      <w:pPr>
        <w:rPr>
          <w:rFonts w:ascii="Times New Roman" w:hAnsi="Times New Roman" w:cs="Times New Roman"/>
          <w:b/>
          <w:bCs/>
          <w:sz w:val="48"/>
          <w:szCs w:val="48"/>
        </w:rPr>
      </w:pPr>
    </w:p>
    <w:p w14:paraId="6B204948" w14:textId="77777777" w:rsidR="00E831B0" w:rsidRDefault="00E831B0" w:rsidP="007B2F93">
      <w:pPr>
        <w:rPr>
          <w:rFonts w:ascii="Times New Roman" w:hAnsi="Times New Roman" w:cs="Times New Roman"/>
          <w:b/>
          <w:bCs/>
          <w:sz w:val="48"/>
          <w:szCs w:val="48"/>
        </w:rPr>
      </w:pPr>
    </w:p>
    <w:p w14:paraId="140FBB49" w14:textId="77777777" w:rsidR="007B2F93" w:rsidRPr="00E831B0" w:rsidRDefault="007B2F93" w:rsidP="007B2F93">
      <w:pPr>
        <w:rPr>
          <w:rFonts w:ascii="Times New Roman" w:hAnsi="Times New Roman" w:cs="Times New Roman"/>
          <w:b/>
          <w:bCs/>
          <w:sz w:val="48"/>
          <w:szCs w:val="48"/>
        </w:rPr>
      </w:pPr>
    </w:p>
    <w:p w14:paraId="56FC96F7" w14:textId="1752DC37" w:rsidR="007B2F93" w:rsidRDefault="007B2F93" w:rsidP="007B2F93">
      <w:pPr>
        <w:rPr>
          <w:rFonts w:ascii="Times New Roman" w:hAnsi="Times New Roman" w:cs="Times New Roman"/>
          <w:b/>
          <w:bCs/>
          <w:sz w:val="48"/>
          <w:szCs w:val="48"/>
        </w:rPr>
      </w:pPr>
      <w:r w:rsidRPr="00E831B0">
        <w:rPr>
          <w:rFonts w:ascii="Times New Roman" w:hAnsi="Times New Roman" w:cs="Times New Roman"/>
          <w:b/>
          <w:bCs/>
          <w:sz w:val="48"/>
          <w:szCs w:val="48"/>
        </w:rPr>
        <w:t xml:space="preserve">Presented by:  </w:t>
      </w:r>
    </w:p>
    <w:p w14:paraId="4904B773" w14:textId="77777777" w:rsidR="00E831B0" w:rsidRPr="00E831B0" w:rsidRDefault="00E831B0" w:rsidP="007B2F93">
      <w:pPr>
        <w:rPr>
          <w:rFonts w:ascii="Times New Roman" w:hAnsi="Times New Roman" w:cs="Times New Roman"/>
          <w:b/>
          <w:bCs/>
          <w:sz w:val="48"/>
          <w:szCs w:val="48"/>
        </w:rPr>
      </w:pPr>
    </w:p>
    <w:p w14:paraId="07BF0D71" w14:textId="67EE920E" w:rsidR="007B2F93" w:rsidRDefault="007B2F93" w:rsidP="007B2F93">
      <w:pPr>
        <w:rPr>
          <w:rFonts w:ascii="Times New Roman" w:hAnsi="Times New Roman" w:cs="Times New Roman"/>
          <w:b/>
          <w:bCs/>
          <w:sz w:val="48"/>
          <w:szCs w:val="48"/>
        </w:rPr>
      </w:pPr>
      <w:r w:rsidRPr="00E831B0">
        <w:rPr>
          <w:rFonts w:ascii="Times New Roman" w:hAnsi="Times New Roman" w:cs="Times New Roman"/>
          <w:b/>
          <w:bCs/>
          <w:sz w:val="48"/>
          <w:szCs w:val="48"/>
        </w:rPr>
        <w:t>U.S. Bankruptcy Judge Lisa Beckerman, U.S. Bankruptcy Court Southern District of New York</w:t>
      </w:r>
    </w:p>
    <w:p w14:paraId="43AB9E55" w14:textId="77777777" w:rsidR="00E831B0" w:rsidRPr="00E831B0" w:rsidRDefault="00E831B0" w:rsidP="007B2F93">
      <w:pPr>
        <w:rPr>
          <w:rFonts w:ascii="Times New Roman" w:hAnsi="Times New Roman" w:cs="Times New Roman"/>
          <w:b/>
          <w:bCs/>
          <w:sz w:val="48"/>
          <w:szCs w:val="48"/>
        </w:rPr>
      </w:pPr>
    </w:p>
    <w:p w14:paraId="47736890" w14:textId="1120B866" w:rsidR="007B2F93" w:rsidRDefault="007B2F93" w:rsidP="007B2F93">
      <w:pPr>
        <w:rPr>
          <w:rFonts w:ascii="Times New Roman" w:hAnsi="Times New Roman" w:cs="Times New Roman"/>
          <w:b/>
          <w:bCs/>
          <w:sz w:val="48"/>
          <w:szCs w:val="48"/>
        </w:rPr>
      </w:pPr>
      <w:r w:rsidRPr="00E831B0">
        <w:rPr>
          <w:rFonts w:ascii="Times New Roman" w:hAnsi="Times New Roman" w:cs="Times New Roman"/>
          <w:b/>
          <w:bCs/>
          <w:sz w:val="48"/>
          <w:szCs w:val="48"/>
        </w:rPr>
        <w:t>U.S. Bankruptcy Judge Elizabeth Stong, U.S. Bankruptcy Court Eastern District of New York</w:t>
      </w:r>
    </w:p>
    <w:p w14:paraId="752E86C2" w14:textId="77777777" w:rsidR="00E831B0" w:rsidRDefault="00E831B0" w:rsidP="007B2F93">
      <w:pPr>
        <w:rPr>
          <w:rFonts w:ascii="Times New Roman" w:hAnsi="Times New Roman" w:cs="Times New Roman"/>
          <w:b/>
          <w:bCs/>
          <w:sz w:val="48"/>
          <w:szCs w:val="48"/>
        </w:rPr>
      </w:pPr>
    </w:p>
    <w:p w14:paraId="097D0866" w14:textId="77777777" w:rsidR="00E831B0" w:rsidRPr="00E831B0" w:rsidRDefault="00E831B0" w:rsidP="007B2F93">
      <w:pPr>
        <w:rPr>
          <w:rFonts w:ascii="Times New Roman" w:hAnsi="Times New Roman" w:cs="Times New Roman"/>
          <w:b/>
          <w:bCs/>
          <w:sz w:val="48"/>
          <w:szCs w:val="48"/>
        </w:rPr>
      </w:pPr>
    </w:p>
    <w:p w14:paraId="537F8155" w14:textId="77777777" w:rsidR="00E831B0" w:rsidRDefault="007B2F93" w:rsidP="007B2F93">
      <w:pPr>
        <w:rPr>
          <w:rFonts w:ascii="Times New Roman" w:hAnsi="Times New Roman" w:cs="Times New Roman"/>
          <w:b/>
          <w:bCs/>
          <w:sz w:val="48"/>
          <w:szCs w:val="48"/>
        </w:rPr>
      </w:pPr>
      <w:r w:rsidRPr="00E831B0">
        <w:rPr>
          <w:rFonts w:ascii="Times New Roman" w:hAnsi="Times New Roman" w:cs="Times New Roman"/>
          <w:b/>
          <w:bCs/>
          <w:sz w:val="48"/>
          <w:szCs w:val="48"/>
        </w:rPr>
        <w:t xml:space="preserve">Moderator:  </w:t>
      </w:r>
    </w:p>
    <w:p w14:paraId="3FDAB07B" w14:textId="1CB7D553" w:rsidR="00407D0A" w:rsidRPr="00E831B0" w:rsidRDefault="007B2F93" w:rsidP="007B2F93">
      <w:pPr>
        <w:rPr>
          <w:rFonts w:ascii="Times New Roman" w:hAnsi="Times New Roman" w:cs="Times New Roman"/>
          <w:b/>
          <w:bCs/>
          <w:sz w:val="48"/>
          <w:szCs w:val="48"/>
        </w:rPr>
      </w:pPr>
      <w:r w:rsidRPr="00E831B0">
        <w:rPr>
          <w:rFonts w:ascii="Times New Roman" w:hAnsi="Times New Roman" w:cs="Times New Roman"/>
          <w:b/>
          <w:bCs/>
          <w:sz w:val="48"/>
          <w:szCs w:val="48"/>
        </w:rPr>
        <w:t>Wanda Borges, Esq. Borges &amp; Associates, LLC</w:t>
      </w:r>
    </w:p>
    <w:p w14:paraId="0C54C6D6" w14:textId="2F30B297" w:rsidR="00E831B0" w:rsidRPr="00E831B0" w:rsidRDefault="00E831B0">
      <w:pPr>
        <w:rPr>
          <w:rFonts w:ascii="Times New Roman" w:hAnsi="Times New Roman" w:cs="Times New Roman"/>
          <w:b/>
          <w:bCs/>
          <w:sz w:val="48"/>
          <w:szCs w:val="48"/>
        </w:rPr>
      </w:pPr>
      <w:r w:rsidRPr="00E831B0">
        <w:rPr>
          <w:rFonts w:ascii="Times New Roman" w:hAnsi="Times New Roman" w:cs="Times New Roman"/>
          <w:b/>
          <w:bCs/>
          <w:sz w:val="48"/>
          <w:szCs w:val="48"/>
        </w:rPr>
        <w:br w:type="page"/>
      </w:r>
    </w:p>
    <w:p w14:paraId="7A401854" w14:textId="77777777" w:rsidR="007B2F93" w:rsidRPr="00B23E52" w:rsidRDefault="007B2F93" w:rsidP="007B2F93">
      <w:pPr>
        <w:rPr>
          <w:rFonts w:ascii="Times New Roman" w:hAnsi="Times New Roman" w:cs="Times New Roman"/>
          <w:b/>
          <w:bCs/>
          <w:sz w:val="28"/>
          <w:szCs w:val="28"/>
        </w:rPr>
      </w:pPr>
    </w:p>
    <w:p w14:paraId="692BC98D" w14:textId="29A56EE3" w:rsidR="00B23E52" w:rsidRPr="00E831B0" w:rsidRDefault="007B2F93" w:rsidP="00B23E52">
      <w:pPr>
        <w:rPr>
          <w:rFonts w:ascii="Times New Roman" w:hAnsi="Times New Roman" w:cs="Times New Roman"/>
          <w:b/>
          <w:bCs/>
          <w:sz w:val="36"/>
          <w:szCs w:val="36"/>
        </w:rPr>
      </w:pPr>
      <w:r w:rsidRPr="00E831B0">
        <w:rPr>
          <w:rFonts w:ascii="Times New Roman" w:hAnsi="Times New Roman" w:cs="Times New Roman"/>
          <w:b/>
          <w:bCs/>
          <w:sz w:val="36"/>
          <w:szCs w:val="36"/>
        </w:rPr>
        <w:t>Small Business, Sub</w:t>
      </w:r>
      <w:r w:rsidR="00B23E52" w:rsidRPr="00E831B0">
        <w:rPr>
          <w:rFonts w:ascii="Times New Roman" w:hAnsi="Times New Roman" w:cs="Times New Roman"/>
          <w:b/>
          <w:bCs/>
          <w:sz w:val="36"/>
          <w:szCs w:val="36"/>
        </w:rPr>
        <w:t>c</w:t>
      </w:r>
      <w:r w:rsidRPr="00E831B0">
        <w:rPr>
          <w:rFonts w:ascii="Times New Roman" w:hAnsi="Times New Roman" w:cs="Times New Roman"/>
          <w:b/>
          <w:bCs/>
          <w:sz w:val="36"/>
          <w:szCs w:val="36"/>
        </w:rPr>
        <w:t xml:space="preserve">hapter V and Real Estate Issues - </w:t>
      </w:r>
      <w:r w:rsidR="00407D0A" w:rsidRPr="00E831B0">
        <w:rPr>
          <w:rFonts w:ascii="Times New Roman" w:hAnsi="Times New Roman" w:cs="Times New Roman"/>
          <w:b/>
          <w:bCs/>
          <w:sz w:val="36"/>
          <w:szCs w:val="36"/>
        </w:rPr>
        <w:t xml:space="preserve">Materials Prepared by:  Wanda Borges, Esq., </w:t>
      </w:r>
    </w:p>
    <w:p w14:paraId="62F5CEE0" w14:textId="77777777" w:rsidR="00B23E52" w:rsidRDefault="00B23E52" w:rsidP="00B23E52">
      <w:pPr>
        <w:rPr>
          <w:rFonts w:ascii="Times New Roman" w:hAnsi="Times New Roman" w:cs="Times New Roman"/>
          <w:b/>
          <w:bCs/>
          <w:sz w:val="28"/>
          <w:szCs w:val="28"/>
        </w:rPr>
      </w:pPr>
    </w:p>
    <w:p w14:paraId="1D749CCA" w14:textId="52FE7E2B" w:rsidR="00155819" w:rsidRPr="00585D80" w:rsidRDefault="00B23E52" w:rsidP="00B23E52">
      <w:pPr>
        <w:rPr>
          <w:rFonts w:ascii="Times New Roman" w:hAnsi="Times New Roman" w:cs="Times New Roman"/>
          <w:b/>
          <w:bCs/>
          <w:sz w:val="28"/>
          <w:szCs w:val="28"/>
        </w:rPr>
      </w:pPr>
      <w:r w:rsidRPr="00585D80">
        <w:rPr>
          <w:rFonts w:ascii="Times New Roman" w:hAnsi="Times New Roman" w:cs="Times New Roman"/>
          <w:b/>
          <w:bCs/>
          <w:sz w:val="28"/>
          <w:szCs w:val="28"/>
          <w:u w:val="single"/>
        </w:rPr>
        <w:t>Eligibility to Proceed Under Subchapter V Based on Debt Amounts</w:t>
      </w:r>
    </w:p>
    <w:p w14:paraId="37D4FE78" w14:textId="77777777" w:rsidR="007B2F93" w:rsidRPr="000500CF" w:rsidRDefault="007B2F93" w:rsidP="007B2F93">
      <w:pPr>
        <w:pStyle w:val="ListParagraph"/>
        <w:ind w:left="1080"/>
        <w:rPr>
          <w:rFonts w:ascii="Times New Roman" w:hAnsi="Times New Roman" w:cs="Times New Roman"/>
          <w:b/>
          <w:bCs/>
        </w:rPr>
      </w:pPr>
    </w:p>
    <w:p w14:paraId="267583B7" w14:textId="32D3DD8B" w:rsidR="007B2F93" w:rsidRPr="000500CF" w:rsidRDefault="007B2F93" w:rsidP="00155819">
      <w:pPr>
        <w:rPr>
          <w:rFonts w:ascii="Times New Roman" w:hAnsi="Times New Roman" w:cs="Times New Roman"/>
        </w:rPr>
      </w:pPr>
      <w:r w:rsidRPr="000500CF">
        <w:rPr>
          <w:rFonts w:ascii="Times New Roman" w:hAnsi="Times New Roman" w:cs="Times New Roman"/>
        </w:rPr>
        <w:t xml:space="preserve">Do contingent lease liabilities and Lease Rejection Damage Claims count toward the Subchapter V debt limit?  The courts are divided.  These cases have discussed this </w:t>
      </w:r>
      <w:r w:rsidR="00D434C5" w:rsidRPr="000500CF">
        <w:rPr>
          <w:rFonts w:ascii="Times New Roman" w:hAnsi="Times New Roman" w:cs="Times New Roman"/>
        </w:rPr>
        <w:t>issue.</w:t>
      </w:r>
    </w:p>
    <w:p w14:paraId="205F0F66" w14:textId="77777777" w:rsidR="007B2F93" w:rsidRPr="000500CF" w:rsidRDefault="007B2F93" w:rsidP="00155819">
      <w:pPr>
        <w:rPr>
          <w:rFonts w:ascii="Times New Roman" w:hAnsi="Times New Roman" w:cs="Times New Roman"/>
        </w:rPr>
      </w:pPr>
    </w:p>
    <w:p w14:paraId="122A5BB0" w14:textId="1623EF7B" w:rsidR="007B2F93" w:rsidRPr="000500CF" w:rsidRDefault="007B2F93" w:rsidP="00155819">
      <w:pPr>
        <w:rPr>
          <w:rFonts w:ascii="Times New Roman" w:hAnsi="Times New Roman" w:cs="Times New Roman"/>
          <w:b/>
          <w:bCs/>
        </w:rPr>
      </w:pPr>
      <w:r w:rsidRPr="000500CF">
        <w:rPr>
          <w:rFonts w:ascii="Times New Roman" w:hAnsi="Times New Roman" w:cs="Times New Roman"/>
          <w:b/>
          <w:bCs/>
        </w:rPr>
        <w:t xml:space="preserve">In Re Parking Management, Inc., 620 B.R. 544 </w:t>
      </w:r>
      <w:r w:rsidR="000500CF" w:rsidRPr="000500CF">
        <w:rPr>
          <w:rFonts w:ascii="Times New Roman" w:hAnsi="Times New Roman" w:cs="Times New Roman"/>
          <w:b/>
          <w:bCs/>
        </w:rPr>
        <w:t>(Bankr</w:t>
      </w:r>
      <w:r w:rsidRPr="000500CF">
        <w:rPr>
          <w:rFonts w:ascii="Times New Roman" w:hAnsi="Times New Roman" w:cs="Times New Roman"/>
          <w:b/>
          <w:bCs/>
        </w:rPr>
        <w:t>. M</w:t>
      </w:r>
      <w:r w:rsidR="000500CF" w:rsidRPr="000500CF">
        <w:rPr>
          <w:rFonts w:ascii="Times New Roman" w:hAnsi="Times New Roman" w:cs="Times New Roman"/>
          <w:b/>
          <w:bCs/>
        </w:rPr>
        <w:t>D 2020</w:t>
      </w:r>
      <w:r w:rsidRPr="000500CF">
        <w:rPr>
          <w:rFonts w:ascii="Times New Roman" w:hAnsi="Times New Roman" w:cs="Times New Roman"/>
          <w:b/>
          <w:bCs/>
        </w:rPr>
        <w:t>)</w:t>
      </w:r>
    </w:p>
    <w:p w14:paraId="7541F1D1" w14:textId="2AA8BB8E" w:rsidR="000500CF" w:rsidRDefault="000500CF" w:rsidP="00155819">
      <w:pPr>
        <w:rPr>
          <w:rFonts w:ascii="Times New Roman" w:hAnsi="Times New Roman" w:cs="Times New Roman"/>
        </w:rPr>
      </w:pPr>
      <w:r>
        <w:rPr>
          <w:rFonts w:ascii="Times New Roman" w:hAnsi="Times New Roman" w:cs="Times New Roman"/>
        </w:rPr>
        <w:t xml:space="preserve">This case </w:t>
      </w:r>
      <w:r w:rsidR="00D434C5">
        <w:rPr>
          <w:rFonts w:ascii="Times New Roman" w:hAnsi="Times New Roman" w:cs="Times New Roman"/>
        </w:rPr>
        <w:t>involved</w:t>
      </w:r>
      <w:r>
        <w:rPr>
          <w:rFonts w:ascii="Times New Roman" w:hAnsi="Times New Roman" w:cs="Times New Roman"/>
        </w:rPr>
        <w:t xml:space="preserve"> not only lease rejection damage claims but a PPP loan.  The lease rejection damages amounted to $1.7 million for the rejection of 12 parking lot leases.  Because the leases were rejected post-petition, the court determined that the damage claim </w:t>
      </w:r>
      <w:r w:rsidR="00E15244">
        <w:rPr>
          <w:rFonts w:ascii="Times New Roman" w:hAnsi="Times New Roman" w:cs="Times New Roman"/>
        </w:rPr>
        <w:t xml:space="preserve">was contingent, </w:t>
      </w:r>
      <w:r>
        <w:rPr>
          <w:rFonts w:ascii="Times New Roman" w:hAnsi="Times New Roman" w:cs="Times New Roman"/>
        </w:rPr>
        <w:t xml:space="preserve">did not exist as of the petition date and should not be included in the calculation of the amount of debt in determining </w:t>
      </w:r>
      <w:r w:rsidR="00E15244">
        <w:rPr>
          <w:rFonts w:ascii="Times New Roman" w:hAnsi="Times New Roman" w:cs="Times New Roman"/>
        </w:rPr>
        <w:t>eligibility</w:t>
      </w:r>
      <w:r>
        <w:rPr>
          <w:rFonts w:ascii="Times New Roman" w:hAnsi="Times New Roman" w:cs="Times New Roman"/>
        </w:rPr>
        <w:t xml:space="preserve"> for Subchapter V.</w:t>
      </w:r>
      <w:r w:rsidR="00E15244">
        <w:rPr>
          <w:rFonts w:ascii="Times New Roman" w:hAnsi="Times New Roman" w:cs="Times New Roman"/>
        </w:rPr>
        <w:t xml:space="preserve">  </w:t>
      </w:r>
      <w:r>
        <w:rPr>
          <w:rFonts w:ascii="Times New Roman" w:hAnsi="Times New Roman" w:cs="Times New Roman"/>
        </w:rPr>
        <w:t xml:space="preserve">  The court also found the PPP loan for $1.8 million to be an unliquidated claim.</w:t>
      </w:r>
      <w:r w:rsidR="00E15244">
        <w:rPr>
          <w:rFonts w:ascii="Times New Roman" w:hAnsi="Times New Roman" w:cs="Times New Roman"/>
        </w:rPr>
        <w:t xml:space="preserve">  Accordingly, the debtor was eligible to proceed under </w:t>
      </w:r>
      <w:r w:rsidR="00B23E52">
        <w:rPr>
          <w:rFonts w:ascii="Times New Roman" w:hAnsi="Times New Roman" w:cs="Times New Roman"/>
        </w:rPr>
        <w:t>Subchapter</w:t>
      </w:r>
      <w:r w:rsidR="00E15244">
        <w:rPr>
          <w:rFonts w:ascii="Times New Roman" w:hAnsi="Times New Roman" w:cs="Times New Roman"/>
        </w:rPr>
        <w:t xml:space="preserve"> V.</w:t>
      </w:r>
    </w:p>
    <w:p w14:paraId="18541858" w14:textId="77777777" w:rsidR="000500CF" w:rsidRDefault="000500CF" w:rsidP="00155819">
      <w:pPr>
        <w:rPr>
          <w:rFonts w:ascii="Times New Roman" w:hAnsi="Times New Roman" w:cs="Times New Roman"/>
        </w:rPr>
      </w:pPr>
    </w:p>
    <w:p w14:paraId="631014EC" w14:textId="7F624E42" w:rsidR="000500CF" w:rsidRDefault="000500CF" w:rsidP="00155819">
      <w:pPr>
        <w:rPr>
          <w:rFonts w:ascii="Times New Roman" w:hAnsi="Times New Roman" w:cs="Times New Roman"/>
          <w:b/>
          <w:bCs/>
        </w:rPr>
      </w:pPr>
      <w:r>
        <w:rPr>
          <w:rFonts w:ascii="Times New Roman" w:hAnsi="Times New Roman" w:cs="Times New Roman"/>
          <w:b/>
          <w:bCs/>
        </w:rPr>
        <w:t>In re: Macedon Consulting, Inc., 652 B.R. 480 (Bankr. E.D. VA 2023)</w:t>
      </w:r>
    </w:p>
    <w:p w14:paraId="69AAD42A" w14:textId="5F9C1EB3" w:rsidR="000500CF" w:rsidRDefault="00C02407" w:rsidP="00155819">
      <w:pPr>
        <w:rPr>
          <w:rFonts w:ascii="Times New Roman" w:hAnsi="Times New Roman" w:cs="Times New Roman"/>
        </w:rPr>
      </w:pPr>
      <w:r>
        <w:rPr>
          <w:rFonts w:ascii="Times New Roman" w:hAnsi="Times New Roman" w:cs="Times New Roman"/>
        </w:rPr>
        <w:t xml:space="preserve">Macedon is an information technology solutions provider.  As of the date of the petition, Macedon was the tenant in two commercial leases for office space.  Simultaneously with the filing of the petition on February 28, 2023, Macedon filed a motion to reject both commercial leases.  In response to that motion, the landlords filed a motion to dismiss, arguing that Macedon is ineligible to be a Subchapter V because the lease rejection claims amounted to $14,390,820.  The Court </w:t>
      </w:r>
      <w:r w:rsidR="009527C4">
        <w:rPr>
          <w:rFonts w:ascii="Times New Roman" w:hAnsi="Times New Roman" w:cs="Times New Roman"/>
        </w:rPr>
        <w:t xml:space="preserve">granted Macedon’s rejection motion and </w:t>
      </w:r>
      <w:r>
        <w:rPr>
          <w:rFonts w:ascii="Times New Roman" w:hAnsi="Times New Roman" w:cs="Times New Roman"/>
        </w:rPr>
        <w:t xml:space="preserve">denied the Landlord’s motion to dismiss, finding there was neither bad faith nor objective futility.  However, the court determined that the leases were </w:t>
      </w:r>
      <w:r w:rsidR="009527C4">
        <w:rPr>
          <w:rFonts w:ascii="Times New Roman" w:hAnsi="Times New Roman" w:cs="Times New Roman"/>
        </w:rPr>
        <w:t>noncontingent and liquidated</w:t>
      </w:r>
      <w:r w:rsidR="00E15244">
        <w:rPr>
          <w:rFonts w:ascii="Times New Roman" w:hAnsi="Times New Roman" w:cs="Times New Roman"/>
        </w:rPr>
        <w:t xml:space="preserve">.  The debt to the landlords arose pre-petition and the debt amount exceeded the </w:t>
      </w:r>
      <w:r w:rsidR="00B23E52">
        <w:rPr>
          <w:rFonts w:ascii="Times New Roman" w:hAnsi="Times New Roman" w:cs="Times New Roman"/>
        </w:rPr>
        <w:t>Subchapter</w:t>
      </w:r>
      <w:r w:rsidR="00E15244">
        <w:rPr>
          <w:rFonts w:ascii="Times New Roman" w:hAnsi="Times New Roman" w:cs="Times New Roman"/>
        </w:rPr>
        <w:t xml:space="preserve"> V eligibility limit. The court </w:t>
      </w:r>
      <w:r w:rsidR="00096D20">
        <w:rPr>
          <w:rFonts w:ascii="Times New Roman" w:hAnsi="Times New Roman" w:cs="Times New Roman"/>
        </w:rPr>
        <w:t xml:space="preserve">revoked the </w:t>
      </w:r>
      <w:r w:rsidR="00B23E52">
        <w:rPr>
          <w:rFonts w:ascii="Times New Roman" w:hAnsi="Times New Roman" w:cs="Times New Roman"/>
        </w:rPr>
        <w:t>Subchapter</w:t>
      </w:r>
      <w:r w:rsidR="00096D20">
        <w:rPr>
          <w:rFonts w:ascii="Times New Roman" w:hAnsi="Times New Roman" w:cs="Times New Roman"/>
        </w:rPr>
        <w:t xml:space="preserve"> V designation and converted this case </w:t>
      </w:r>
      <w:r w:rsidR="00D434C5">
        <w:rPr>
          <w:rFonts w:ascii="Times New Roman" w:hAnsi="Times New Roman" w:cs="Times New Roman"/>
        </w:rPr>
        <w:t>into</w:t>
      </w:r>
      <w:r w:rsidR="00096D20">
        <w:rPr>
          <w:rFonts w:ascii="Times New Roman" w:hAnsi="Times New Roman" w:cs="Times New Roman"/>
        </w:rPr>
        <w:t xml:space="preserve"> a regular chapter 11 case.</w:t>
      </w:r>
      <w:r w:rsidR="009527C4">
        <w:rPr>
          <w:rFonts w:ascii="Times New Roman" w:hAnsi="Times New Roman" w:cs="Times New Roman"/>
        </w:rPr>
        <w:t xml:space="preserve">  </w:t>
      </w:r>
    </w:p>
    <w:p w14:paraId="2CF7C387" w14:textId="77777777" w:rsidR="00096D20" w:rsidRDefault="00096D20" w:rsidP="00155819">
      <w:pPr>
        <w:rPr>
          <w:rFonts w:ascii="Times New Roman" w:hAnsi="Times New Roman" w:cs="Times New Roman"/>
        </w:rPr>
      </w:pPr>
    </w:p>
    <w:p w14:paraId="148A9BB5" w14:textId="03FB3548" w:rsidR="00096D20" w:rsidRDefault="00096D20" w:rsidP="00155819">
      <w:pPr>
        <w:rPr>
          <w:rFonts w:ascii="Times New Roman" w:hAnsi="Times New Roman" w:cs="Times New Roman"/>
          <w:b/>
          <w:bCs/>
        </w:rPr>
      </w:pPr>
      <w:r>
        <w:rPr>
          <w:rFonts w:ascii="Times New Roman" w:hAnsi="Times New Roman" w:cs="Times New Roman"/>
          <w:b/>
          <w:bCs/>
        </w:rPr>
        <w:t>In re Zhang Medical P.C. d/b/a New Hope Fertility Clinic</w:t>
      </w:r>
      <w:r w:rsidR="00026A9A">
        <w:rPr>
          <w:rFonts w:ascii="Times New Roman" w:hAnsi="Times New Roman" w:cs="Times New Roman"/>
          <w:b/>
          <w:bCs/>
        </w:rPr>
        <w:t>,</w:t>
      </w:r>
      <w:r>
        <w:rPr>
          <w:rFonts w:ascii="Times New Roman" w:hAnsi="Times New Roman" w:cs="Times New Roman"/>
          <w:b/>
          <w:bCs/>
        </w:rPr>
        <w:t xml:space="preserve"> 655 B.R. 403 (Bankr S.D.NY 2023)</w:t>
      </w:r>
    </w:p>
    <w:p w14:paraId="434ED6BB" w14:textId="14B33663" w:rsidR="00096D20" w:rsidRDefault="00096D20" w:rsidP="00096D20">
      <w:pPr>
        <w:rPr>
          <w:rFonts w:ascii="Times New Roman" w:hAnsi="Times New Roman" w:cs="Times New Roman"/>
        </w:rPr>
      </w:pPr>
      <w:r>
        <w:rPr>
          <w:rFonts w:ascii="Times New Roman" w:hAnsi="Times New Roman" w:cs="Times New Roman"/>
        </w:rPr>
        <w:t xml:space="preserve">This court disagreed with the Macedon decision but found the debtor to be ineligible to proceed as a </w:t>
      </w:r>
      <w:r w:rsidR="00B23E52">
        <w:rPr>
          <w:rFonts w:ascii="Times New Roman" w:hAnsi="Times New Roman" w:cs="Times New Roman"/>
        </w:rPr>
        <w:t>Subchapter</w:t>
      </w:r>
      <w:r>
        <w:rPr>
          <w:rFonts w:ascii="Times New Roman" w:hAnsi="Times New Roman" w:cs="Times New Roman"/>
        </w:rPr>
        <w:t xml:space="preserve"> V because the pre-petition debts (without any consideration of rejection damage claims) exceeded the $7.5 million limit which was then in effect.  In addressing the Macedon issue, the court concluded that “contrary to </w:t>
      </w:r>
      <w:r>
        <w:rPr>
          <w:rFonts w:ascii="Times New Roman" w:hAnsi="Times New Roman" w:cs="Times New Roman"/>
          <w:i/>
          <w:iCs/>
        </w:rPr>
        <w:t>Macedon Consulting</w:t>
      </w:r>
      <w:r>
        <w:rPr>
          <w:rFonts w:ascii="Times New Roman" w:hAnsi="Times New Roman" w:cs="Times New Roman"/>
        </w:rPr>
        <w:t xml:space="preserve">, a debtor’s future payment obligations under its unexpired leases and executory contracts should rarely, if ever, be counted toward the </w:t>
      </w:r>
      <w:r w:rsidR="00E2558B">
        <w:rPr>
          <w:rFonts w:ascii="Times New Roman" w:hAnsi="Times New Roman" w:cs="Times New Roman"/>
        </w:rPr>
        <w:t>S</w:t>
      </w:r>
      <w:r>
        <w:rPr>
          <w:rFonts w:ascii="Times New Roman" w:hAnsi="Times New Roman" w:cs="Times New Roman"/>
        </w:rPr>
        <w:t xml:space="preserve">ubchapter V debt cap.”  In declining to follow the </w:t>
      </w:r>
      <w:r>
        <w:rPr>
          <w:rFonts w:ascii="Times New Roman" w:hAnsi="Times New Roman" w:cs="Times New Roman"/>
          <w:i/>
          <w:iCs/>
        </w:rPr>
        <w:t>Macedon</w:t>
      </w:r>
      <w:r>
        <w:rPr>
          <w:rFonts w:ascii="Times New Roman" w:hAnsi="Times New Roman" w:cs="Times New Roman"/>
        </w:rPr>
        <w:t xml:space="preserve"> decision, the court </w:t>
      </w:r>
      <w:r w:rsidR="00D434C5">
        <w:rPr>
          <w:rFonts w:ascii="Times New Roman" w:hAnsi="Times New Roman" w:cs="Times New Roman"/>
        </w:rPr>
        <w:t>said,</w:t>
      </w:r>
      <w:r>
        <w:rPr>
          <w:rFonts w:ascii="Times New Roman" w:hAnsi="Times New Roman" w:cs="Times New Roman"/>
        </w:rPr>
        <w:t xml:space="preserve"> “</w:t>
      </w:r>
      <w:r w:rsidRPr="00096D20">
        <w:rPr>
          <w:rFonts w:ascii="Times New Roman" w:hAnsi="Times New Roman" w:cs="Times New Roman"/>
        </w:rPr>
        <w:t>In</w:t>
      </w:r>
      <w:r>
        <w:rPr>
          <w:rFonts w:ascii="Times New Roman" w:hAnsi="Times New Roman" w:cs="Times New Roman"/>
        </w:rPr>
        <w:t xml:space="preserve"> </w:t>
      </w:r>
      <w:r w:rsidRPr="00096D20">
        <w:rPr>
          <w:rFonts w:ascii="Times New Roman" w:hAnsi="Times New Roman" w:cs="Times New Roman"/>
        </w:rPr>
        <w:t>the Court's view, that decision overlooks the distinctive</w:t>
      </w:r>
      <w:r>
        <w:rPr>
          <w:rFonts w:ascii="Times New Roman" w:hAnsi="Times New Roman" w:cs="Times New Roman"/>
        </w:rPr>
        <w:t xml:space="preserve"> </w:t>
      </w:r>
      <w:r w:rsidRPr="00096D20">
        <w:rPr>
          <w:rFonts w:ascii="Times New Roman" w:hAnsi="Times New Roman" w:cs="Times New Roman"/>
        </w:rPr>
        <w:t>nature of a debtor's obligations under its executory</w:t>
      </w:r>
      <w:r>
        <w:rPr>
          <w:rFonts w:ascii="Times New Roman" w:hAnsi="Times New Roman" w:cs="Times New Roman"/>
        </w:rPr>
        <w:t xml:space="preserve"> </w:t>
      </w:r>
      <w:r w:rsidRPr="00096D20">
        <w:rPr>
          <w:rFonts w:ascii="Times New Roman" w:hAnsi="Times New Roman" w:cs="Times New Roman"/>
        </w:rPr>
        <w:t>contracts and unexpired leases, which differ in key</w:t>
      </w:r>
      <w:r>
        <w:rPr>
          <w:rFonts w:ascii="Times New Roman" w:hAnsi="Times New Roman" w:cs="Times New Roman"/>
        </w:rPr>
        <w:t xml:space="preserve"> </w:t>
      </w:r>
      <w:r w:rsidRPr="00096D20">
        <w:rPr>
          <w:rFonts w:ascii="Times New Roman" w:hAnsi="Times New Roman" w:cs="Times New Roman"/>
        </w:rPr>
        <w:t>respects from other debtor obligations.</w:t>
      </w:r>
      <w:r>
        <w:rPr>
          <w:rFonts w:ascii="Times New Roman" w:hAnsi="Times New Roman" w:cs="Times New Roman"/>
        </w:rPr>
        <w:t>”</w:t>
      </w:r>
    </w:p>
    <w:p w14:paraId="6CC1685D" w14:textId="77777777" w:rsidR="00A324EC" w:rsidRDefault="00A324EC" w:rsidP="00096D20">
      <w:pPr>
        <w:rPr>
          <w:rFonts w:ascii="Times New Roman" w:hAnsi="Times New Roman" w:cs="Times New Roman"/>
        </w:rPr>
      </w:pPr>
    </w:p>
    <w:p w14:paraId="38BC3ACC" w14:textId="1D68218E" w:rsidR="00A324EC" w:rsidRDefault="00A324EC" w:rsidP="00A324EC">
      <w:pPr>
        <w:rPr>
          <w:rFonts w:ascii="Times New Roman" w:hAnsi="Times New Roman" w:cs="Times New Roman"/>
          <w:b/>
          <w:bCs/>
        </w:rPr>
      </w:pPr>
      <w:r>
        <w:rPr>
          <w:rFonts w:ascii="Times New Roman" w:hAnsi="Times New Roman" w:cs="Times New Roman"/>
          <w:b/>
          <w:bCs/>
        </w:rPr>
        <w:t xml:space="preserve">In Re Burdock and Associations, Inc., </w:t>
      </w:r>
      <w:r w:rsidRPr="00A324EC">
        <w:rPr>
          <w:rFonts w:ascii="Times New Roman" w:hAnsi="Times New Roman" w:cs="Times New Roman"/>
          <w:b/>
          <w:bCs/>
        </w:rPr>
        <w:t>662 B.R. 16</w:t>
      </w:r>
      <w:r>
        <w:rPr>
          <w:rFonts w:ascii="Times New Roman" w:hAnsi="Times New Roman" w:cs="Times New Roman"/>
          <w:b/>
          <w:bCs/>
        </w:rPr>
        <w:t xml:space="preserve"> (Bankr M.D.FL 2024)</w:t>
      </w:r>
    </w:p>
    <w:p w14:paraId="5AE205BE" w14:textId="353CCA61" w:rsidR="00E2558B" w:rsidRDefault="00A324EC" w:rsidP="00096D20">
      <w:pPr>
        <w:rPr>
          <w:rFonts w:ascii="Times New Roman" w:hAnsi="Times New Roman" w:cs="Times New Roman"/>
        </w:rPr>
      </w:pPr>
      <w:r>
        <w:rPr>
          <w:rFonts w:ascii="Times New Roman" w:hAnsi="Times New Roman" w:cs="Times New Roman"/>
        </w:rPr>
        <w:t>Burdock</w:t>
      </w:r>
      <w:r w:rsidRPr="00A324EC">
        <w:rPr>
          <w:rFonts w:ascii="Times New Roman" w:hAnsi="Times New Roman" w:cs="Times New Roman"/>
        </w:rPr>
        <w:t xml:space="preserve"> is an international safety and regulatory</w:t>
      </w:r>
      <w:r>
        <w:rPr>
          <w:rFonts w:ascii="Times New Roman" w:hAnsi="Times New Roman" w:cs="Times New Roman"/>
        </w:rPr>
        <w:t xml:space="preserve"> </w:t>
      </w:r>
      <w:r w:rsidRPr="00A324EC">
        <w:rPr>
          <w:rFonts w:ascii="Times New Roman" w:hAnsi="Times New Roman" w:cs="Times New Roman"/>
        </w:rPr>
        <w:t>compliance consulting firm</w:t>
      </w:r>
      <w:r>
        <w:rPr>
          <w:rFonts w:ascii="Times New Roman" w:hAnsi="Times New Roman" w:cs="Times New Roman"/>
        </w:rPr>
        <w:t xml:space="preserve">.  Paydirt, a creditor had sued Burdock for an excess of $14 million claiming damages for breach of contract resulting in loss of “expected revenue”.  The California District Court determined that Paydirt could not </w:t>
      </w:r>
      <w:r>
        <w:rPr>
          <w:rFonts w:ascii="Times New Roman" w:hAnsi="Times New Roman" w:cs="Times New Roman"/>
        </w:rPr>
        <w:lastRenderedPageBreak/>
        <w:t>recover “expected revenue” but was entitled to “lost profits” under Florida law</w:t>
      </w:r>
      <w:r w:rsidR="00374D88">
        <w:rPr>
          <w:rFonts w:ascii="Times New Roman" w:hAnsi="Times New Roman" w:cs="Times New Roman"/>
        </w:rPr>
        <w:t xml:space="preserve">, where Burdock was located.  Burdock filed its Subchapter V petition listing Paydirt’s claim in an “unknown” amount and stating that the Paydirt claim was unliquidated and contingent.  </w:t>
      </w:r>
      <w:r w:rsidR="00374D88" w:rsidRPr="00374D88">
        <w:rPr>
          <w:rFonts w:ascii="Times New Roman" w:hAnsi="Times New Roman" w:cs="Times New Roman"/>
        </w:rPr>
        <w:t>Paydirt filed a proof of</w:t>
      </w:r>
      <w:r w:rsidR="00374D88">
        <w:rPr>
          <w:rFonts w:ascii="Times New Roman" w:hAnsi="Times New Roman" w:cs="Times New Roman"/>
        </w:rPr>
        <w:t xml:space="preserve"> </w:t>
      </w:r>
      <w:r w:rsidR="00374D88" w:rsidRPr="00374D88">
        <w:rPr>
          <w:rFonts w:ascii="Times New Roman" w:hAnsi="Times New Roman" w:cs="Times New Roman"/>
        </w:rPr>
        <w:t>claim (the “Claim”) seeking a total of $14,010,742 in</w:t>
      </w:r>
      <w:r w:rsidR="00374D88">
        <w:rPr>
          <w:rFonts w:ascii="Times New Roman" w:hAnsi="Times New Roman" w:cs="Times New Roman"/>
        </w:rPr>
        <w:t xml:space="preserve"> </w:t>
      </w:r>
      <w:r w:rsidR="00374D88" w:rsidRPr="00374D88">
        <w:rPr>
          <w:rFonts w:ascii="Times New Roman" w:hAnsi="Times New Roman" w:cs="Times New Roman"/>
        </w:rPr>
        <w:t>damages</w:t>
      </w:r>
      <w:r w:rsidR="00374D88">
        <w:rPr>
          <w:rFonts w:ascii="Times New Roman" w:hAnsi="Times New Roman" w:cs="Times New Roman"/>
        </w:rPr>
        <w:t xml:space="preserve"> for “expected revenue”</w:t>
      </w:r>
      <w:r w:rsidR="00374D88" w:rsidRPr="00374D88">
        <w:rPr>
          <w:rFonts w:ascii="Times New Roman" w:hAnsi="Times New Roman" w:cs="Times New Roman"/>
        </w:rPr>
        <w:t>.</w:t>
      </w:r>
      <w:r w:rsidR="00374D88">
        <w:rPr>
          <w:rFonts w:ascii="Times New Roman" w:hAnsi="Times New Roman" w:cs="Times New Roman"/>
        </w:rPr>
        <w:t xml:space="preserve">  Burdock objected to the claim and filed its Subchapter V Plan proposing to pay creditors, including </w:t>
      </w:r>
      <w:r w:rsidR="00D434C5">
        <w:rPr>
          <w:rFonts w:ascii="Times New Roman" w:hAnsi="Times New Roman" w:cs="Times New Roman"/>
        </w:rPr>
        <w:t>Paydirt,</w:t>
      </w:r>
      <w:r w:rsidR="00374D88">
        <w:rPr>
          <w:rFonts w:ascii="Times New Roman" w:hAnsi="Times New Roman" w:cs="Times New Roman"/>
        </w:rPr>
        <w:t xml:space="preserve"> </w:t>
      </w:r>
      <w:r w:rsidR="00D434C5">
        <w:rPr>
          <w:rFonts w:ascii="Times New Roman" w:hAnsi="Times New Roman" w:cs="Times New Roman"/>
        </w:rPr>
        <w:t>with</w:t>
      </w:r>
      <w:r w:rsidR="00374D88">
        <w:rPr>
          <w:rFonts w:ascii="Times New Roman" w:hAnsi="Times New Roman" w:cs="Times New Roman"/>
        </w:rPr>
        <w:t xml:space="preserve"> proceeds anticipated to be received from Burdock’s claim against its insurance carrier.   Paydirt moved for summary judgment on the issue of Burdock’s eligibility to proceed with its Subchapter V case based on Paydirt’s claim of $14,010,742.  Paydirt insisted that its claim is liquidated because it is contractual and readily calculated despite Burdock’s objection thereto.  The Bankruptcy Judge opined on the question of “liquidated” claim noting that while a contractual claim can be readily ascertained, Paydirt’s claim was in the nature of a tort claim and “</w:t>
      </w:r>
      <w:r w:rsidR="00374D88" w:rsidRPr="00374D88">
        <w:rPr>
          <w:rFonts w:ascii="Times New Roman" w:hAnsi="Times New Roman" w:cs="Times New Roman"/>
        </w:rPr>
        <w:t>Tort</w:t>
      </w:r>
      <w:r w:rsidR="00374D88">
        <w:rPr>
          <w:rFonts w:ascii="Times New Roman" w:hAnsi="Times New Roman" w:cs="Times New Roman"/>
        </w:rPr>
        <w:t xml:space="preserve"> </w:t>
      </w:r>
      <w:r w:rsidR="00374D88" w:rsidRPr="00374D88">
        <w:rPr>
          <w:rFonts w:ascii="Times New Roman" w:hAnsi="Times New Roman" w:cs="Times New Roman"/>
        </w:rPr>
        <w:t>claims, on the other hand, are generally unliquidated</w:t>
      </w:r>
      <w:r w:rsidR="00374D88">
        <w:rPr>
          <w:rFonts w:ascii="Times New Roman" w:hAnsi="Times New Roman" w:cs="Times New Roman"/>
        </w:rPr>
        <w:t xml:space="preserve"> </w:t>
      </w:r>
      <w:r w:rsidR="00374D88" w:rsidRPr="00374D88">
        <w:rPr>
          <w:rFonts w:ascii="Times New Roman" w:hAnsi="Times New Roman" w:cs="Times New Roman"/>
        </w:rPr>
        <w:t>because they involve “the future exercise of discretion,</w:t>
      </w:r>
      <w:r w:rsidR="00374D88">
        <w:rPr>
          <w:rFonts w:ascii="Times New Roman" w:hAnsi="Times New Roman" w:cs="Times New Roman"/>
        </w:rPr>
        <w:t xml:space="preserve"> </w:t>
      </w:r>
      <w:r w:rsidR="00374D88" w:rsidRPr="00374D88">
        <w:rPr>
          <w:rFonts w:ascii="Times New Roman" w:hAnsi="Times New Roman" w:cs="Times New Roman"/>
        </w:rPr>
        <w:t>not restricted by specific criteria.”</w:t>
      </w:r>
      <w:r w:rsidR="00374D88">
        <w:rPr>
          <w:rFonts w:ascii="Times New Roman" w:hAnsi="Times New Roman" w:cs="Times New Roman"/>
        </w:rPr>
        <w:t xml:space="preserve"> </w:t>
      </w:r>
      <w:r w:rsidR="00374D88">
        <w:rPr>
          <w:rFonts w:ascii="Times New Roman" w:hAnsi="Times New Roman" w:cs="Times New Roman"/>
          <w:i/>
          <w:iCs/>
        </w:rPr>
        <w:t>Citing</w:t>
      </w:r>
      <w:r w:rsidR="00DC6B1C">
        <w:rPr>
          <w:rFonts w:ascii="Times New Roman" w:hAnsi="Times New Roman" w:cs="Times New Roman"/>
          <w:i/>
          <w:iCs/>
        </w:rPr>
        <w:t xml:space="preserve"> Verdum</w:t>
      </w:r>
      <w:r w:rsidR="00374D88">
        <w:rPr>
          <w:rFonts w:ascii="Times New Roman" w:hAnsi="Times New Roman" w:cs="Times New Roman"/>
          <w:i/>
          <w:iCs/>
        </w:rPr>
        <w:t xml:space="preserve"> </w:t>
      </w:r>
      <w:r w:rsidR="00DC6B1C" w:rsidRPr="00DC6B1C">
        <w:rPr>
          <w:rFonts w:ascii="Times New Roman" w:hAnsi="Times New Roman" w:cs="Times New Roman"/>
          <w:i/>
          <w:iCs/>
        </w:rPr>
        <w:t>89 F.3d at 802</w:t>
      </w:r>
      <w:r w:rsidR="00DC6B1C">
        <w:rPr>
          <w:rFonts w:ascii="Times New Roman" w:hAnsi="Times New Roman" w:cs="Times New Roman"/>
          <w:i/>
          <w:iCs/>
        </w:rPr>
        <w:t xml:space="preserve">.  </w:t>
      </w:r>
      <w:r w:rsidR="00DC6B1C">
        <w:rPr>
          <w:rFonts w:ascii="Times New Roman" w:hAnsi="Times New Roman" w:cs="Times New Roman"/>
        </w:rPr>
        <w:t>Having found Paydirt’s claim to be unliquidated, it Court denied Paydirt’s motion for summary judgment.  Therefore, Burdock met the eligibility requirements of Subchapter V.  The Court also determined that Burdock met all the confirmation requirements of §1191(d).</w:t>
      </w:r>
    </w:p>
    <w:p w14:paraId="36C82C36" w14:textId="77777777" w:rsidR="002D2764" w:rsidRPr="00DC6B1C" w:rsidRDefault="002D2764" w:rsidP="00096D20">
      <w:pPr>
        <w:rPr>
          <w:rFonts w:ascii="Times New Roman" w:hAnsi="Times New Roman" w:cs="Times New Roman"/>
        </w:rPr>
      </w:pPr>
    </w:p>
    <w:p w14:paraId="15B90E50" w14:textId="77777777" w:rsidR="00DC6B1C" w:rsidRDefault="00DC6B1C" w:rsidP="00096D20">
      <w:pPr>
        <w:rPr>
          <w:rFonts w:ascii="Times New Roman" w:hAnsi="Times New Roman" w:cs="Times New Roman"/>
          <w:i/>
          <w:iCs/>
        </w:rPr>
      </w:pPr>
    </w:p>
    <w:p w14:paraId="6290F12C" w14:textId="2C82ABCF" w:rsidR="001745A8" w:rsidRDefault="002D2764" w:rsidP="001745A8">
      <w:pPr>
        <w:rPr>
          <w:rFonts w:ascii="Times New Roman" w:hAnsi="Times New Roman" w:cs="Times New Roman"/>
          <w:b/>
          <w:bCs/>
          <w:sz w:val="28"/>
          <w:szCs w:val="28"/>
          <w:u w:val="single"/>
        </w:rPr>
      </w:pPr>
      <w:r>
        <w:rPr>
          <w:rFonts w:ascii="Times New Roman" w:hAnsi="Times New Roman" w:cs="Times New Roman"/>
          <w:b/>
          <w:bCs/>
          <w:sz w:val="28"/>
          <w:szCs w:val="28"/>
          <w:u w:val="single"/>
        </w:rPr>
        <w:t>Revocation of Subchapter V and/or Small Business Designations</w:t>
      </w:r>
    </w:p>
    <w:p w14:paraId="748E51FB" w14:textId="77777777" w:rsidR="001745A8" w:rsidRDefault="001745A8" w:rsidP="001745A8">
      <w:pPr>
        <w:rPr>
          <w:rFonts w:ascii="Times New Roman" w:hAnsi="Times New Roman" w:cs="Times New Roman"/>
          <w:b/>
          <w:bCs/>
          <w:sz w:val="28"/>
          <w:szCs w:val="28"/>
          <w:u w:val="single"/>
        </w:rPr>
      </w:pPr>
    </w:p>
    <w:p w14:paraId="063ECC62" w14:textId="2C05E6F6" w:rsidR="00A071EA" w:rsidRDefault="00A071EA" w:rsidP="001745A8">
      <w:pPr>
        <w:rPr>
          <w:rFonts w:ascii="Times New Roman" w:hAnsi="Times New Roman" w:cs="Times New Roman"/>
          <w:b/>
          <w:bCs/>
          <w:u w:val="single"/>
        </w:rPr>
      </w:pPr>
      <w:r>
        <w:rPr>
          <w:rFonts w:ascii="Times New Roman" w:hAnsi="Times New Roman" w:cs="Times New Roman"/>
          <w:b/>
          <w:bCs/>
          <w:u w:val="single"/>
        </w:rPr>
        <w:t>In re Wilson, 666 B.R. 828 (Bankr M.D. BA 2024)</w:t>
      </w:r>
      <w:r w:rsidR="002D2764">
        <w:rPr>
          <w:rFonts w:ascii="Times New Roman" w:hAnsi="Times New Roman" w:cs="Times New Roman"/>
          <w:b/>
          <w:bCs/>
          <w:u w:val="single"/>
        </w:rPr>
        <w:t xml:space="preserve"> </w:t>
      </w:r>
    </w:p>
    <w:p w14:paraId="08220421" w14:textId="77777777" w:rsidR="00720629" w:rsidRPr="00720629" w:rsidRDefault="00A071EA" w:rsidP="00720629">
      <w:pPr>
        <w:rPr>
          <w:rFonts w:ascii="Times New Roman" w:hAnsi="Times New Roman" w:cs="Times New Roman"/>
        </w:rPr>
      </w:pPr>
      <w:r>
        <w:rPr>
          <w:rFonts w:ascii="Times New Roman" w:hAnsi="Times New Roman" w:cs="Times New Roman"/>
        </w:rPr>
        <w:t xml:space="preserve">The Debtor, Christopher Mark Wilson is an individual who filed a bankruptcy petition and elected to proceed under Subchapter V of Chapter 11.  At the time of the bankruptcy filing, Wilson </w:t>
      </w:r>
      <w:r w:rsidR="00720629">
        <w:rPr>
          <w:rFonts w:ascii="Times New Roman" w:hAnsi="Times New Roman" w:cs="Times New Roman"/>
        </w:rPr>
        <w:t>had been involved in a hotly contested lawsuit pending in the U.S. District Court for the Middle District of North Carolina and had assumed responsibility for legal fees in excess of $300K.  Wilson filed his chapter 11 proceeding because of the mounting costs of the litigation and to “secure [creditors] some sort of payback.” Creditor McGriff filed its Motion to Dismiss the Subchapter V Chapter 11 arguing that the Subchapter V case was not filed in good faith and that the Debtor “</w:t>
      </w:r>
      <w:r w:rsidR="00720629" w:rsidRPr="00720629">
        <w:rPr>
          <w:rFonts w:ascii="Times New Roman" w:hAnsi="Times New Roman" w:cs="Times New Roman"/>
        </w:rPr>
        <w:t>is ineligible to qualify as a debtor</w:t>
      </w:r>
      <w:r w:rsidR="00720629">
        <w:rPr>
          <w:rFonts w:ascii="Times New Roman" w:hAnsi="Times New Roman" w:cs="Times New Roman"/>
        </w:rPr>
        <w:t xml:space="preserve"> </w:t>
      </w:r>
      <w:r w:rsidR="00720629" w:rsidRPr="00720629">
        <w:rPr>
          <w:rFonts w:ascii="Times New Roman" w:hAnsi="Times New Roman" w:cs="Times New Roman"/>
        </w:rPr>
        <w:t>under subchapter V because 1) he was not engaged in</w:t>
      </w:r>
      <w:r w:rsidR="00720629">
        <w:rPr>
          <w:rFonts w:ascii="Times New Roman" w:hAnsi="Times New Roman" w:cs="Times New Roman"/>
        </w:rPr>
        <w:t xml:space="preserve"> </w:t>
      </w:r>
      <w:r w:rsidR="00720629" w:rsidRPr="00720629">
        <w:rPr>
          <w:rFonts w:ascii="Times New Roman" w:hAnsi="Times New Roman" w:cs="Times New Roman"/>
        </w:rPr>
        <w:t>commercial or business activities on the petition date,</w:t>
      </w:r>
      <w:r w:rsidR="00720629">
        <w:rPr>
          <w:rFonts w:ascii="Times New Roman" w:hAnsi="Times New Roman" w:cs="Times New Roman"/>
        </w:rPr>
        <w:t xml:space="preserve"> </w:t>
      </w:r>
      <w:r w:rsidR="00720629" w:rsidRPr="00720629">
        <w:rPr>
          <w:rFonts w:ascii="Times New Roman" w:hAnsi="Times New Roman" w:cs="Times New Roman"/>
        </w:rPr>
        <w:t>2) he has not shown that not less than 50 percent of</w:t>
      </w:r>
      <w:r w:rsidR="00720629">
        <w:rPr>
          <w:rFonts w:ascii="Times New Roman" w:hAnsi="Times New Roman" w:cs="Times New Roman"/>
        </w:rPr>
        <w:t xml:space="preserve"> </w:t>
      </w:r>
      <w:r w:rsidR="00720629" w:rsidRPr="00720629">
        <w:rPr>
          <w:rFonts w:ascii="Times New Roman" w:hAnsi="Times New Roman" w:cs="Times New Roman"/>
        </w:rPr>
        <w:t>his debts arise from commercial or business activities</w:t>
      </w:r>
      <w:r w:rsidR="00720629">
        <w:rPr>
          <w:rFonts w:ascii="Times New Roman" w:hAnsi="Times New Roman" w:cs="Times New Roman"/>
        </w:rPr>
        <w:t xml:space="preserve"> </w:t>
      </w:r>
      <w:r w:rsidR="00720629" w:rsidRPr="00720629">
        <w:rPr>
          <w:rFonts w:ascii="Times New Roman" w:hAnsi="Times New Roman" w:cs="Times New Roman"/>
        </w:rPr>
        <w:t>and, 3) his debts did not arise from his commercial or</w:t>
      </w:r>
      <w:r w:rsidR="00720629">
        <w:rPr>
          <w:rFonts w:ascii="Times New Roman" w:hAnsi="Times New Roman" w:cs="Times New Roman"/>
        </w:rPr>
        <w:t xml:space="preserve"> </w:t>
      </w:r>
      <w:r w:rsidR="00720629" w:rsidRPr="00720629">
        <w:rPr>
          <w:rFonts w:ascii="Times New Roman" w:hAnsi="Times New Roman" w:cs="Times New Roman"/>
        </w:rPr>
        <w:t>business activities.</w:t>
      </w:r>
      <w:r w:rsidR="00720629">
        <w:rPr>
          <w:rFonts w:ascii="Times New Roman" w:hAnsi="Times New Roman" w:cs="Times New Roman"/>
        </w:rPr>
        <w:t xml:space="preserve">”  </w:t>
      </w:r>
      <w:r w:rsidR="00720629" w:rsidRPr="00720629">
        <w:rPr>
          <w:rFonts w:ascii="Times New Roman" w:hAnsi="Times New Roman" w:cs="Times New Roman"/>
        </w:rPr>
        <w:t>11 U.S.C. § 101(51D)(A)</w:t>
      </w:r>
    </w:p>
    <w:p w14:paraId="23C53CB1" w14:textId="238CB293" w:rsidR="00A071EA" w:rsidRDefault="00720629" w:rsidP="00720629">
      <w:pPr>
        <w:rPr>
          <w:rFonts w:ascii="Times New Roman" w:hAnsi="Times New Roman" w:cs="Times New Roman"/>
        </w:rPr>
      </w:pPr>
      <w:r w:rsidRPr="00720629">
        <w:rPr>
          <w:rFonts w:ascii="Times New Roman" w:hAnsi="Times New Roman" w:cs="Times New Roman"/>
        </w:rPr>
        <w:t>defines a small business debtor</w:t>
      </w:r>
      <w:r w:rsidR="002D2764">
        <w:rPr>
          <w:rFonts w:ascii="Times New Roman" w:hAnsi="Times New Roman" w:cs="Times New Roman"/>
        </w:rPr>
        <w:t xml:space="preserve"> as “</w:t>
      </w:r>
      <w:r w:rsidRPr="00720629">
        <w:rPr>
          <w:rFonts w:ascii="Times New Roman" w:hAnsi="Times New Roman" w:cs="Times New Roman"/>
        </w:rPr>
        <w:t>a person engaged in commercial or</w:t>
      </w:r>
      <w:r>
        <w:rPr>
          <w:rFonts w:ascii="Times New Roman" w:hAnsi="Times New Roman" w:cs="Times New Roman"/>
        </w:rPr>
        <w:t xml:space="preserve"> </w:t>
      </w:r>
      <w:r w:rsidRPr="00720629">
        <w:rPr>
          <w:rFonts w:ascii="Times New Roman" w:hAnsi="Times New Roman" w:cs="Times New Roman"/>
        </w:rPr>
        <w:t>business activities (including any affiliate of such</w:t>
      </w:r>
      <w:r w:rsidR="002D2764">
        <w:rPr>
          <w:rFonts w:ascii="Times New Roman" w:hAnsi="Times New Roman" w:cs="Times New Roman"/>
        </w:rPr>
        <w:t xml:space="preserve"> </w:t>
      </w:r>
      <w:r w:rsidRPr="00720629">
        <w:rPr>
          <w:rFonts w:ascii="Times New Roman" w:hAnsi="Times New Roman" w:cs="Times New Roman"/>
        </w:rPr>
        <w:t>person that is also a debtor under this title and</w:t>
      </w:r>
      <w:r>
        <w:rPr>
          <w:rFonts w:ascii="Times New Roman" w:hAnsi="Times New Roman" w:cs="Times New Roman"/>
        </w:rPr>
        <w:t xml:space="preserve"> </w:t>
      </w:r>
      <w:r w:rsidRPr="00720629">
        <w:rPr>
          <w:rFonts w:ascii="Times New Roman" w:hAnsi="Times New Roman" w:cs="Times New Roman"/>
        </w:rPr>
        <w:t>excluding a person whose primary activity is the</w:t>
      </w:r>
      <w:r w:rsidR="002D2764">
        <w:rPr>
          <w:rFonts w:ascii="Times New Roman" w:hAnsi="Times New Roman" w:cs="Times New Roman"/>
        </w:rPr>
        <w:t xml:space="preserve"> </w:t>
      </w:r>
      <w:r w:rsidRPr="00720629">
        <w:rPr>
          <w:rFonts w:ascii="Times New Roman" w:hAnsi="Times New Roman" w:cs="Times New Roman"/>
        </w:rPr>
        <w:t>business of owning single asset real estate) that</w:t>
      </w:r>
      <w:r>
        <w:rPr>
          <w:rFonts w:ascii="Times New Roman" w:hAnsi="Times New Roman" w:cs="Times New Roman"/>
        </w:rPr>
        <w:t xml:space="preserve"> </w:t>
      </w:r>
      <w:r w:rsidRPr="00720629">
        <w:rPr>
          <w:rFonts w:ascii="Times New Roman" w:hAnsi="Times New Roman" w:cs="Times New Roman"/>
        </w:rPr>
        <w:t>has aggregate noncontingent liquidated secured</w:t>
      </w:r>
      <w:r w:rsidR="002D2764">
        <w:rPr>
          <w:rFonts w:ascii="Times New Roman" w:hAnsi="Times New Roman" w:cs="Times New Roman"/>
        </w:rPr>
        <w:t xml:space="preserve"> </w:t>
      </w:r>
      <w:r w:rsidRPr="00720629">
        <w:rPr>
          <w:rFonts w:ascii="Times New Roman" w:hAnsi="Times New Roman" w:cs="Times New Roman"/>
        </w:rPr>
        <w:t>and unsecured debts as of the date of the filing of</w:t>
      </w:r>
      <w:r>
        <w:rPr>
          <w:rFonts w:ascii="Times New Roman" w:hAnsi="Times New Roman" w:cs="Times New Roman"/>
        </w:rPr>
        <w:t xml:space="preserve"> </w:t>
      </w:r>
      <w:r w:rsidRPr="00720629">
        <w:rPr>
          <w:rFonts w:ascii="Times New Roman" w:hAnsi="Times New Roman" w:cs="Times New Roman"/>
        </w:rPr>
        <w:t>the petition or the date of the order for relief in</w:t>
      </w:r>
      <w:r w:rsidR="002D2764">
        <w:rPr>
          <w:rFonts w:ascii="Times New Roman" w:hAnsi="Times New Roman" w:cs="Times New Roman"/>
        </w:rPr>
        <w:t xml:space="preserve"> </w:t>
      </w:r>
      <w:r w:rsidRPr="00720629">
        <w:rPr>
          <w:rFonts w:ascii="Times New Roman" w:hAnsi="Times New Roman" w:cs="Times New Roman"/>
        </w:rPr>
        <w:t>an amount not more than $3,024,725 (excluding</w:t>
      </w:r>
      <w:r>
        <w:rPr>
          <w:rFonts w:ascii="Times New Roman" w:hAnsi="Times New Roman" w:cs="Times New Roman"/>
        </w:rPr>
        <w:t xml:space="preserve"> </w:t>
      </w:r>
      <w:r w:rsidRPr="00720629">
        <w:rPr>
          <w:rFonts w:ascii="Times New Roman" w:hAnsi="Times New Roman" w:cs="Times New Roman"/>
        </w:rPr>
        <w:t>debts owed to 1 or more affiliates or insiders)</w:t>
      </w:r>
      <w:r w:rsidR="002D2764">
        <w:rPr>
          <w:rFonts w:ascii="Times New Roman" w:hAnsi="Times New Roman" w:cs="Times New Roman"/>
        </w:rPr>
        <w:t xml:space="preserve"> </w:t>
      </w:r>
      <w:r w:rsidRPr="00720629">
        <w:rPr>
          <w:rFonts w:ascii="Times New Roman" w:hAnsi="Times New Roman" w:cs="Times New Roman"/>
        </w:rPr>
        <w:t>not less than 50 percent of which arose from the</w:t>
      </w:r>
      <w:r>
        <w:rPr>
          <w:rFonts w:ascii="Times New Roman" w:hAnsi="Times New Roman" w:cs="Times New Roman"/>
        </w:rPr>
        <w:t xml:space="preserve"> </w:t>
      </w:r>
      <w:r w:rsidRPr="00720629">
        <w:rPr>
          <w:rFonts w:ascii="Times New Roman" w:hAnsi="Times New Roman" w:cs="Times New Roman"/>
        </w:rPr>
        <w:t>commercial or business activities of the debtor</w:t>
      </w:r>
      <w:r w:rsidR="002D2764">
        <w:rPr>
          <w:rFonts w:ascii="Times New Roman" w:hAnsi="Times New Roman" w:cs="Times New Roman"/>
        </w:rPr>
        <w:t>.”  The Bankruptcy Court found that Wilson was engaged in commercial or business activities.  However, the Court also found that Wilson’s debts arose, primarily from the McGriff litigation which was a two-party dispute.  Therefore, Wilson could not meet the 50 percent debt provision and was ineligible to remain a Subchapter V debtor.  Wilson was permitted to remain in bankruptcy as a traditional chapter 11.</w:t>
      </w:r>
    </w:p>
    <w:p w14:paraId="61D4FE66" w14:textId="77777777" w:rsidR="002D2764" w:rsidRDefault="002D2764" w:rsidP="00720629">
      <w:pPr>
        <w:rPr>
          <w:rFonts w:ascii="Times New Roman" w:hAnsi="Times New Roman" w:cs="Times New Roman"/>
        </w:rPr>
      </w:pPr>
    </w:p>
    <w:p w14:paraId="372E7D15" w14:textId="4F226CDA" w:rsidR="002D2764" w:rsidRDefault="002D2764" w:rsidP="00720629">
      <w:pPr>
        <w:rPr>
          <w:rFonts w:ascii="Times New Roman" w:hAnsi="Times New Roman" w:cs="Times New Roman"/>
          <w:b/>
          <w:bCs/>
        </w:rPr>
      </w:pPr>
      <w:r>
        <w:rPr>
          <w:rFonts w:ascii="Times New Roman" w:hAnsi="Times New Roman" w:cs="Times New Roman"/>
          <w:b/>
          <w:bCs/>
        </w:rPr>
        <w:t>In re National Small Business Alliance, Inc., 642 B.R. 345 (Bankr D.C. 2022)</w:t>
      </w:r>
    </w:p>
    <w:p w14:paraId="0A4890AA" w14:textId="29D228F8" w:rsidR="00617D4A" w:rsidRPr="00617D4A" w:rsidRDefault="002D2764" w:rsidP="00617D4A">
      <w:pPr>
        <w:rPr>
          <w:rFonts w:ascii="Times New Roman" w:hAnsi="Times New Roman" w:cs="Times New Roman"/>
        </w:rPr>
      </w:pPr>
      <w:r>
        <w:rPr>
          <w:rFonts w:ascii="Times New Roman" w:hAnsi="Times New Roman" w:cs="Times New Roman"/>
        </w:rPr>
        <w:lastRenderedPageBreak/>
        <w:t>This was a case of first impression decided by Judge Elizabeth I. Gunn in 2022.  Noting that the purpose of Subchapter V was “to streamline the process by which small business debtors reorganize and rehabilitate their financial affairs” H.R. Rep.No. 116-71, at 1 (2019)</w:t>
      </w:r>
      <w:r w:rsidR="00617D4A">
        <w:rPr>
          <w:rFonts w:ascii="Times New Roman" w:hAnsi="Times New Roman" w:cs="Times New Roman"/>
        </w:rPr>
        <w:t xml:space="preserve"> Judge Gunn found this case to have been “anything but streamlined.” The case was filed on January 31, </w:t>
      </w:r>
      <w:r w:rsidR="00D434C5">
        <w:rPr>
          <w:rFonts w:ascii="Times New Roman" w:hAnsi="Times New Roman" w:cs="Times New Roman"/>
        </w:rPr>
        <w:t>2021,</w:t>
      </w:r>
      <w:r w:rsidR="00617D4A">
        <w:rPr>
          <w:rFonts w:ascii="Times New Roman" w:hAnsi="Times New Roman" w:cs="Times New Roman"/>
        </w:rPr>
        <w:t xml:space="preserve"> and the Debtor was to have submitted a Plan by May 1, 2021.  That didn’t happen.  The Debtor operated a </w:t>
      </w:r>
      <w:r w:rsidR="00617D4A" w:rsidRPr="00617D4A">
        <w:rPr>
          <w:rFonts w:ascii="Times New Roman" w:hAnsi="Times New Roman" w:cs="Times New Roman"/>
        </w:rPr>
        <w:t>membership-based business</w:t>
      </w:r>
      <w:r w:rsidR="00617D4A">
        <w:rPr>
          <w:rFonts w:ascii="Times New Roman" w:hAnsi="Times New Roman" w:cs="Times New Roman"/>
        </w:rPr>
        <w:t xml:space="preserve"> </w:t>
      </w:r>
      <w:r w:rsidR="00617D4A" w:rsidRPr="00617D4A">
        <w:rPr>
          <w:rFonts w:ascii="Times New Roman" w:hAnsi="Times New Roman" w:cs="Times New Roman"/>
        </w:rPr>
        <w:t xml:space="preserve">that provides referrals, marketing assistance, and </w:t>
      </w:r>
      <w:r w:rsidR="00D434C5" w:rsidRPr="00617D4A">
        <w:rPr>
          <w:rFonts w:ascii="Times New Roman" w:hAnsi="Times New Roman" w:cs="Times New Roman"/>
        </w:rPr>
        <w:t>other</w:t>
      </w:r>
    </w:p>
    <w:p w14:paraId="5CAAE158" w14:textId="162039FD" w:rsidR="002D2764" w:rsidRPr="002D2764" w:rsidRDefault="00617D4A" w:rsidP="00617D4A">
      <w:pPr>
        <w:rPr>
          <w:rFonts w:ascii="Times New Roman" w:hAnsi="Times New Roman" w:cs="Times New Roman"/>
        </w:rPr>
      </w:pPr>
      <w:r w:rsidRPr="00617D4A">
        <w:rPr>
          <w:rFonts w:ascii="Times New Roman" w:hAnsi="Times New Roman" w:cs="Times New Roman"/>
        </w:rPr>
        <w:t>support services to its member small businesses (the</w:t>
      </w:r>
      <w:r>
        <w:rPr>
          <w:rFonts w:ascii="Times New Roman" w:hAnsi="Times New Roman" w:cs="Times New Roman"/>
        </w:rPr>
        <w:t xml:space="preserve"> </w:t>
      </w:r>
      <w:r w:rsidRPr="00617D4A">
        <w:rPr>
          <w:rFonts w:ascii="Times New Roman" w:hAnsi="Times New Roman" w:cs="Times New Roman"/>
        </w:rPr>
        <w:t>“Members”). At all times during this case, the Debtor</w:t>
      </w:r>
      <w:r>
        <w:rPr>
          <w:rFonts w:ascii="Times New Roman" w:hAnsi="Times New Roman" w:cs="Times New Roman"/>
        </w:rPr>
        <w:t xml:space="preserve"> </w:t>
      </w:r>
      <w:r w:rsidRPr="00617D4A">
        <w:rPr>
          <w:rFonts w:ascii="Times New Roman" w:hAnsi="Times New Roman" w:cs="Times New Roman"/>
        </w:rPr>
        <w:t>has had between 700 and 750 Members</w:t>
      </w:r>
      <w:r>
        <w:rPr>
          <w:rFonts w:ascii="Times New Roman" w:hAnsi="Times New Roman" w:cs="Times New Roman"/>
        </w:rPr>
        <w:t>.  The Debtor was dispos</w:t>
      </w:r>
      <w:r w:rsidR="00D434C5">
        <w:rPr>
          <w:rFonts w:ascii="Times New Roman" w:hAnsi="Times New Roman" w:cs="Times New Roman"/>
        </w:rPr>
        <w:t>sessed</w:t>
      </w:r>
      <w:r>
        <w:rPr>
          <w:rFonts w:ascii="Times New Roman" w:hAnsi="Times New Roman" w:cs="Times New Roman"/>
        </w:rPr>
        <w:t xml:space="preserve"> in April 2021 and by </w:t>
      </w:r>
      <w:r w:rsidR="00D434C5">
        <w:rPr>
          <w:rFonts w:ascii="Times New Roman" w:hAnsi="Times New Roman" w:cs="Times New Roman"/>
        </w:rPr>
        <w:t>April</w:t>
      </w:r>
      <w:r>
        <w:rPr>
          <w:rFonts w:ascii="Times New Roman" w:hAnsi="Times New Roman" w:cs="Times New Roman"/>
        </w:rPr>
        <w:t xml:space="preserve"> 2022 had filed five plans, none of which were confirmable.  On April 18, 2022, the Court issued an Order revoking the Subchapter V election.  The case was converted to a traditional chapter 11 </w:t>
      </w:r>
      <w:r w:rsidR="00D434C5">
        <w:rPr>
          <w:rFonts w:ascii="Times New Roman" w:hAnsi="Times New Roman" w:cs="Times New Roman"/>
        </w:rPr>
        <w:t>proceeding,</w:t>
      </w:r>
      <w:r>
        <w:rPr>
          <w:rFonts w:ascii="Times New Roman" w:hAnsi="Times New Roman" w:cs="Times New Roman"/>
        </w:rPr>
        <w:t xml:space="preserve"> and a chapter 11 trustee was appointed. </w:t>
      </w:r>
    </w:p>
    <w:p w14:paraId="4ACE2C93" w14:textId="77777777" w:rsidR="001745A8" w:rsidRDefault="001745A8" w:rsidP="00096D20">
      <w:pPr>
        <w:rPr>
          <w:rFonts w:ascii="Times New Roman" w:hAnsi="Times New Roman" w:cs="Times New Roman"/>
          <w:i/>
          <w:iCs/>
        </w:rPr>
      </w:pPr>
    </w:p>
    <w:p w14:paraId="3F1D33CF" w14:textId="77777777" w:rsidR="00DC6B1C" w:rsidRDefault="00DC6B1C" w:rsidP="00096D20">
      <w:pPr>
        <w:rPr>
          <w:rFonts w:ascii="Times New Roman" w:hAnsi="Times New Roman" w:cs="Times New Roman"/>
        </w:rPr>
      </w:pPr>
    </w:p>
    <w:p w14:paraId="11275414" w14:textId="7327A3FD" w:rsidR="00E2558B" w:rsidRPr="00585D80" w:rsidRDefault="00E2558B" w:rsidP="00096D20">
      <w:pPr>
        <w:rPr>
          <w:rFonts w:ascii="Times New Roman" w:hAnsi="Times New Roman" w:cs="Times New Roman"/>
          <w:b/>
          <w:bCs/>
          <w:sz w:val="28"/>
          <w:szCs w:val="28"/>
          <w:u w:val="single"/>
        </w:rPr>
      </w:pPr>
      <w:r w:rsidRPr="00585D80">
        <w:rPr>
          <w:rFonts w:ascii="Times New Roman" w:hAnsi="Times New Roman" w:cs="Times New Roman"/>
          <w:b/>
          <w:bCs/>
          <w:sz w:val="28"/>
          <w:szCs w:val="28"/>
          <w:u w:val="single"/>
        </w:rPr>
        <w:t>Plan Confirmation Issues</w:t>
      </w:r>
    </w:p>
    <w:p w14:paraId="56AF4C93" w14:textId="77777777" w:rsidR="00E2558B" w:rsidRDefault="00E2558B" w:rsidP="00096D20">
      <w:pPr>
        <w:rPr>
          <w:rFonts w:ascii="Times New Roman" w:hAnsi="Times New Roman" w:cs="Times New Roman"/>
          <w:b/>
          <w:bCs/>
          <w:u w:val="single"/>
        </w:rPr>
      </w:pPr>
    </w:p>
    <w:p w14:paraId="64BDEC20" w14:textId="7C3A65AA" w:rsidR="00026A9A" w:rsidRDefault="00026A9A" w:rsidP="00096D20">
      <w:pPr>
        <w:rPr>
          <w:rFonts w:ascii="Times New Roman" w:hAnsi="Times New Roman" w:cs="Times New Roman"/>
          <w:b/>
          <w:bCs/>
        </w:rPr>
      </w:pPr>
      <w:r>
        <w:rPr>
          <w:rFonts w:ascii="Times New Roman" w:hAnsi="Times New Roman" w:cs="Times New Roman"/>
          <w:b/>
          <w:bCs/>
        </w:rPr>
        <w:t>In re Premier Glass Services, LLC, 664 B.R. 465 (Bankr N.</w:t>
      </w:r>
      <w:r w:rsidR="004249B1">
        <w:rPr>
          <w:rFonts w:ascii="Times New Roman" w:hAnsi="Times New Roman" w:cs="Times New Roman"/>
          <w:b/>
          <w:bCs/>
        </w:rPr>
        <w:t>D</w:t>
      </w:r>
      <w:r>
        <w:rPr>
          <w:rFonts w:ascii="Times New Roman" w:hAnsi="Times New Roman" w:cs="Times New Roman"/>
          <w:b/>
          <w:bCs/>
        </w:rPr>
        <w:t>.  IL 2024)</w:t>
      </w:r>
    </w:p>
    <w:p w14:paraId="0346F332" w14:textId="1F948429" w:rsidR="00026A9A" w:rsidRDefault="00026A9A" w:rsidP="00096D20">
      <w:pPr>
        <w:rPr>
          <w:rFonts w:ascii="Times New Roman" w:hAnsi="Times New Roman" w:cs="Times New Roman"/>
        </w:rPr>
      </w:pPr>
      <w:r>
        <w:rPr>
          <w:rFonts w:ascii="Times New Roman" w:hAnsi="Times New Roman" w:cs="Times New Roman"/>
        </w:rPr>
        <w:t>The Debtor, a commercial glass repair business sought confirmation of its non-consensual Subchapter V</w:t>
      </w:r>
      <w:r w:rsidR="004B08D0">
        <w:rPr>
          <w:rFonts w:ascii="Times New Roman" w:hAnsi="Times New Roman" w:cs="Times New Roman"/>
        </w:rPr>
        <w:t xml:space="preserve"> </w:t>
      </w:r>
      <w:r>
        <w:rPr>
          <w:rFonts w:ascii="Times New Roman" w:hAnsi="Times New Roman" w:cs="Times New Roman"/>
        </w:rPr>
        <w:t>plan over the objection of a competitor/creditor.  Bankruptcy Code §1191 requires a non-consensual Subchapter V plan to be “fair and equitable”.  To satisfy that</w:t>
      </w:r>
      <w:r w:rsidR="004B08D0">
        <w:rPr>
          <w:rFonts w:ascii="Times New Roman" w:hAnsi="Times New Roman" w:cs="Times New Roman"/>
        </w:rPr>
        <w:t xml:space="preserve"> provision,</w:t>
      </w:r>
      <w:r>
        <w:rPr>
          <w:rFonts w:ascii="Times New Roman" w:hAnsi="Times New Roman" w:cs="Times New Roman"/>
        </w:rPr>
        <w:t xml:space="preserve"> it is required “that the Plan adequately commits all disposable income to making payments for the life of the plan.” c</w:t>
      </w:r>
      <w:r>
        <w:rPr>
          <w:rFonts w:ascii="Times New Roman" w:hAnsi="Times New Roman" w:cs="Times New Roman"/>
          <w:i/>
          <w:iCs/>
        </w:rPr>
        <w:t xml:space="preserve">iting In re Channel Clarity Holdings, LLC., </w:t>
      </w:r>
      <w:r>
        <w:rPr>
          <w:rFonts w:ascii="Times New Roman" w:hAnsi="Times New Roman" w:cs="Times New Roman"/>
        </w:rPr>
        <w:t xml:space="preserve"> No. 21-07972, 2022 WL3710602, at 15* (Bankr N.D. Ill. July 19, 2022). §1191(d) </w:t>
      </w:r>
      <w:r w:rsidR="004B08D0">
        <w:rPr>
          <w:rFonts w:ascii="Times New Roman" w:hAnsi="Times New Roman" w:cs="Times New Roman"/>
        </w:rPr>
        <w:t>defines “disposable income” as “</w:t>
      </w:r>
      <w:r w:rsidR="004B08D0" w:rsidRPr="004B08D0">
        <w:rPr>
          <w:rFonts w:ascii="Times New Roman" w:hAnsi="Times New Roman" w:cs="Times New Roman"/>
        </w:rPr>
        <w:t>the income that is received by the debtor and that is not reasonably necessary to be expended</w:t>
      </w:r>
      <w:r w:rsidR="004B08D0">
        <w:rPr>
          <w:rFonts w:ascii="Times New Roman" w:hAnsi="Times New Roman" w:cs="Times New Roman"/>
        </w:rPr>
        <w:t xml:space="preserve">… </w:t>
      </w:r>
      <w:r w:rsidR="004B08D0" w:rsidRPr="004B08D0">
        <w:rPr>
          <w:rFonts w:ascii="Times New Roman" w:hAnsi="Times New Roman" w:cs="Times New Roman"/>
        </w:rPr>
        <w:t>for</w:t>
      </w:r>
      <w:r w:rsidR="004B08D0">
        <w:rPr>
          <w:rFonts w:ascii="Times New Roman" w:hAnsi="Times New Roman" w:cs="Times New Roman"/>
        </w:rPr>
        <w:t xml:space="preserve"> </w:t>
      </w:r>
      <w:r w:rsidR="004B08D0" w:rsidRPr="004B08D0">
        <w:rPr>
          <w:rFonts w:ascii="Times New Roman" w:hAnsi="Times New Roman" w:cs="Times New Roman"/>
        </w:rPr>
        <w:t>the payment of expenditures necessary for the continuation, preservation, or operation of the business of the debtor.</w:t>
      </w:r>
      <w:r w:rsidR="004B08D0">
        <w:rPr>
          <w:rFonts w:ascii="Times New Roman" w:hAnsi="Times New Roman" w:cs="Times New Roman"/>
        </w:rPr>
        <w:t xml:space="preserve">”  </w:t>
      </w:r>
    </w:p>
    <w:p w14:paraId="6C7606D9" w14:textId="77777777" w:rsidR="00DC6B1C" w:rsidRDefault="00DC6B1C" w:rsidP="00096D20">
      <w:pPr>
        <w:rPr>
          <w:rFonts w:ascii="Times New Roman" w:hAnsi="Times New Roman" w:cs="Times New Roman"/>
        </w:rPr>
      </w:pPr>
    </w:p>
    <w:p w14:paraId="6695D71B" w14:textId="0AD501DF" w:rsidR="00DC6B1C" w:rsidRDefault="00DC6B1C" w:rsidP="00DC6B1C">
      <w:pPr>
        <w:rPr>
          <w:rFonts w:ascii="Times New Roman" w:hAnsi="Times New Roman" w:cs="Times New Roman"/>
          <w:b/>
          <w:bCs/>
          <w:i/>
          <w:iCs/>
        </w:rPr>
      </w:pPr>
      <w:r>
        <w:rPr>
          <w:rFonts w:ascii="Times New Roman" w:hAnsi="Times New Roman" w:cs="Times New Roman"/>
          <w:b/>
          <w:bCs/>
        </w:rPr>
        <w:t xml:space="preserve">In Re Burdock and Associations, Inc., </w:t>
      </w:r>
      <w:r w:rsidRPr="00A324EC">
        <w:rPr>
          <w:rFonts w:ascii="Times New Roman" w:hAnsi="Times New Roman" w:cs="Times New Roman"/>
          <w:b/>
          <w:bCs/>
        </w:rPr>
        <w:t>662 B.R. 16</w:t>
      </w:r>
      <w:r>
        <w:rPr>
          <w:rFonts w:ascii="Times New Roman" w:hAnsi="Times New Roman" w:cs="Times New Roman"/>
          <w:b/>
          <w:bCs/>
        </w:rPr>
        <w:t xml:space="preserve"> (Bankr M.D.FL 2024)</w:t>
      </w:r>
    </w:p>
    <w:p w14:paraId="55777A45" w14:textId="0FD9CC9F" w:rsidR="00DC6B1C" w:rsidRDefault="00DC6B1C" w:rsidP="00DC6B1C">
      <w:pPr>
        <w:rPr>
          <w:rFonts w:ascii="Times New Roman" w:hAnsi="Times New Roman" w:cs="Times New Roman"/>
          <w:i/>
          <w:iCs/>
        </w:rPr>
      </w:pPr>
      <w:r>
        <w:rPr>
          <w:rFonts w:ascii="Times New Roman" w:hAnsi="Times New Roman" w:cs="Times New Roman"/>
          <w:i/>
          <w:iCs/>
        </w:rPr>
        <w:t>SEE SUMMARY ABOVE</w:t>
      </w:r>
    </w:p>
    <w:p w14:paraId="596E3DC4" w14:textId="48D326C9" w:rsidR="00DB334F" w:rsidRDefault="00DC6B1C" w:rsidP="00DC6B1C">
      <w:pPr>
        <w:rPr>
          <w:rFonts w:ascii="Times New Roman" w:hAnsi="Times New Roman" w:cs="Times New Roman"/>
        </w:rPr>
      </w:pPr>
      <w:r>
        <w:rPr>
          <w:rFonts w:ascii="Times New Roman" w:hAnsi="Times New Roman" w:cs="Times New Roman"/>
        </w:rPr>
        <w:t xml:space="preserve">While Paydirt filed its motion for summary judgment on the eligibility issue, Burdock filed a motion to cramdown its plan over the objection of Paydirt, its creditor.  </w:t>
      </w:r>
      <w:r w:rsidR="001745A8">
        <w:rPr>
          <w:rFonts w:ascii="Times New Roman" w:hAnsi="Times New Roman" w:cs="Times New Roman"/>
        </w:rPr>
        <w:t>Simultaneously with denial Paydirt’s motion for summary judgment as to eligibility, the Court granted Burdock’s motion and approved confirmation.</w:t>
      </w:r>
    </w:p>
    <w:p w14:paraId="61E64779" w14:textId="5A50D029" w:rsidR="00C74DBC" w:rsidRDefault="00DB334F">
      <w:pPr>
        <w:rPr>
          <w:rFonts w:ascii="Times New Roman" w:hAnsi="Times New Roman" w:cs="Times New Roman"/>
        </w:rPr>
      </w:pPr>
      <w:r>
        <w:rPr>
          <w:rFonts w:ascii="Times New Roman" w:hAnsi="Times New Roman" w:cs="Times New Roman"/>
        </w:rPr>
        <w:br w:type="page"/>
      </w:r>
    </w:p>
    <w:p w14:paraId="7A828E07" w14:textId="2BCB835A" w:rsidR="00617D4A" w:rsidRPr="00617D4A" w:rsidRDefault="00617D4A" w:rsidP="00DC6B1C">
      <w:pPr>
        <w:rPr>
          <w:rFonts w:ascii="Times New Roman" w:hAnsi="Times New Roman" w:cs="Times New Roman"/>
          <w:b/>
          <w:bCs/>
          <w:sz w:val="28"/>
          <w:szCs w:val="28"/>
          <w:u w:val="single"/>
        </w:rPr>
      </w:pPr>
      <w:r w:rsidRPr="00617D4A">
        <w:rPr>
          <w:rFonts w:ascii="Times New Roman" w:hAnsi="Times New Roman" w:cs="Times New Roman"/>
          <w:b/>
          <w:bCs/>
          <w:sz w:val="28"/>
          <w:szCs w:val="28"/>
          <w:u w:val="single"/>
        </w:rPr>
        <w:lastRenderedPageBreak/>
        <w:t>Discharge and Dischargeability Issues</w:t>
      </w:r>
    </w:p>
    <w:p w14:paraId="79BCFBF7" w14:textId="77777777" w:rsidR="001745A8" w:rsidRDefault="001745A8" w:rsidP="00DC6B1C">
      <w:pPr>
        <w:rPr>
          <w:rFonts w:ascii="Times New Roman" w:hAnsi="Times New Roman" w:cs="Times New Roman"/>
        </w:rPr>
      </w:pPr>
    </w:p>
    <w:p w14:paraId="28404D35" w14:textId="77777777" w:rsidR="00DB334F" w:rsidRDefault="00DB334F" w:rsidP="00DB334F">
      <w:pPr>
        <w:pStyle w:val="BodyText"/>
        <w:spacing w:after="0"/>
        <w:rPr>
          <w:rFonts w:ascii="Times New Roman" w:hAnsi="Times New Roman" w:cs="Times New Roman"/>
          <w:b/>
          <w:bCs/>
          <w:szCs w:val="24"/>
        </w:rPr>
      </w:pPr>
      <w:r w:rsidRPr="00DB334F">
        <w:rPr>
          <w:rFonts w:ascii="Times New Roman" w:hAnsi="Times New Roman" w:cs="Times New Roman"/>
          <w:b/>
          <w:bCs/>
          <w:szCs w:val="24"/>
        </w:rPr>
        <w:t>Benshot LLC v. 2 Monkey Trading LLC (In re 2 Monkey Trading, LLC) 2025 WL 1892380 (11</w:t>
      </w:r>
      <w:r w:rsidRPr="00DB334F">
        <w:rPr>
          <w:rFonts w:ascii="Times New Roman" w:hAnsi="Times New Roman" w:cs="Times New Roman"/>
          <w:b/>
          <w:bCs/>
          <w:szCs w:val="24"/>
          <w:vertAlign w:val="superscript"/>
        </w:rPr>
        <w:t>th</w:t>
      </w:r>
      <w:r w:rsidRPr="00DB334F">
        <w:rPr>
          <w:rFonts w:ascii="Times New Roman" w:hAnsi="Times New Roman" w:cs="Times New Roman"/>
          <w:b/>
          <w:bCs/>
          <w:szCs w:val="24"/>
        </w:rPr>
        <w:t xml:space="preserve"> Cir. 2025).  </w:t>
      </w:r>
    </w:p>
    <w:p w14:paraId="0D0D61AD" w14:textId="503F522C" w:rsidR="00DB334F" w:rsidRPr="00DB334F" w:rsidRDefault="00DB334F" w:rsidP="00DB334F">
      <w:pPr>
        <w:pStyle w:val="BodyText"/>
        <w:rPr>
          <w:rFonts w:ascii="Times New Roman" w:hAnsi="Times New Roman" w:cs="Times New Roman"/>
          <w:szCs w:val="24"/>
        </w:rPr>
      </w:pPr>
      <w:r w:rsidRPr="00DB334F">
        <w:rPr>
          <w:rFonts w:ascii="Times New Roman" w:hAnsi="Times New Roman" w:cs="Times New Roman"/>
          <w:szCs w:val="24"/>
        </w:rPr>
        <w:t xml:space="preserve">In a Sub Chapter V case 11 U.S.C. 1192 deals with discharge of debts. Among those debts that are discharged are those debts listed in 11 U.S.C. 523, which are normally non-dischargeable in a Chapter 7 case. However, 11 U.S.C. 523 only lists debts that are nondischargeable for an individual. That makes sense because in Chapter 7, only an individual can get a discharge. Individuals refer only to living people and not legal fictions.  </w:t>
      </w:r>
    </w:p>
    <w:p w14:paraId="5568D4C8" w14:textId="77777777" w:rsidR="00DB334F" w:rsidRPr="00DB334F" w:rsidRDefault="00DB334F" w:rsidP="00DB334F">
      <w:pPr>
        <w:pStyle w:val="BodyText"/>
        <w:rPr>
          <w:rFonts w:ascii="Times New Roman" w:hAnsi="Times New Roman" w:cs="Times New Roman"/>
          <w:szCs w:val="24"/>
        </w:rPr>
      </w:pPr>
      <w:r w:rsidRPr="00DB334F">
        <w:rPr>
          <w:rFonts w:ascii="Times New Roman" w:hAnsi="Times New Roman" w:cs="Times New Roman"/>
          <w:szCs w:val="24"/>
        </w:rPr>
        <w:t xml:space="preserve">Notwithstanding this language, subchapter 11 debtors’ bar has been relentless in their claim that corporations in non-consensual plans are entitled to a discharge of the debts listed in 11 U.S.C. 523, and many bankruptcy courts have agreed.  </w:t>
      </w:r>
    </w:p>
    <w:p w14:paraId="31B7D992" w14:textId="77777777" w:rsidR="00DB334F" w:rsidRPr="00DB334F" w:rsidRDefault="00DB334F" w:rsidP="00DB334F">
      <w:pPr>
        <w:pStyle w:val="BodyText"/>
        <w:rPr>
          <w:rFonts w:ascii="Times New Roman" w:hAnsi="Times New Roman" w:cs="Times New Roman"/>
          <w:szCs w:val="24"/>
        </w:rPr>
      </w:pPr>
      <w:r w:rsidRPr="00DB334F">
        <w:rPr>
          <w:rFonts w:ascii="Times New Roman" w:hAnsi="Times New Roman" w:cs="Times New Roman"/>
          <w:szCs w:val="24"/>
        </w:rPr>
        <w:t>On July 9, 2025, the Court of Appeals for the 11</w:t>
      </w:r>
      <w:r w:rsidRPr="00DB334F">
        <w:rPr>
          <w:rFonts w:ascii="Times New Roman" w:hAnsi="Times New Roman" w:cs="Times New Roman"/>
          <w:szCs w:val="24"/>
          <w:vertAlign w:val="superscript"/>
        </w:rPr>
        <w:t>th</w:t>
      </w:r>
      <w:r w:rsidRPr="00DB334F">
        <w:rPr>
          <w:rFonts w:ascii="Times New Roman" w:hAnsi="Times New Roman" w:cs="Times New Roman"/>
          <w:szCs w:val="24"/>
        </w:rPr>
        <w:t xml:space="preserve"> Circuit became the third court of appeals to hold that corporations in subchapter V seeking to confirm a non-consensual plan are not entitled to discharge of the types of debts listed in 11 U.S.C. 523. </w:t>
      </w:r>
    </w:p>
    <w:p w14:paraId="75227281" w14:textId="77777777" w:rsidR="00DB334F" w:rsidRPr="00DB334F" w:rsidRDefault="00DB334F" w:rsidP="00DB334F">
      <w:pPr>
        <w:pStyle w:val="BodyText"/>
        <w:rPr>
          <w:rFonts w:ascii="Times New Roman" w:hAnsi="Times New Roman" w:cs="Times New Roman"/>
          <w:szCs w:val="24"/>
        </w:rPr>
      </w:pPr>
      <w:r w:rsidRPr="00DB334F">
        <w:rPr>
          <w:rFonts w:ascii="Times New Roman" w:hAnsi="Times New Roman" w:cs="Times New Roman"/>
          <w:szCs w:val="24"/>
        </w:rPr>
        <w:t xml:space="preserve">The Court sided with the specific language and the context of the statute. To interpret 11 U.S.C. 523 otherwise would violate the cannons of surplusage and would conflict with 11 U.S.C. 1141.  </w:t>
      </w:r>
    </w:p>
    <w:p w14:paraId="458FAF1B" w14:textId="1DADAA76" w:rsidR="00DB334F" w:rsidRDefault="00DB334F" w:rsidP="00DB334F">
      <w:pPr>
        <w:pStyle w:val="BodyText"/>
        <w:rPr>
          <w:rFonts w:ascii="Times New Roman" w:hAnsi="Times New Roman" w:cs="Times New Roman"/>
          <w:szCs w:val="24"/>
        </w:rPr>
      </w:pPr>
      <w:r w:rsidRPr="00DB334F">
        <w:rPr>
          <w:rFonts w:ascii="Times New Roman" w:hAnsi="Times New Roman" w:cs="Times New Roman"/>
          <w:szCs w:val="24"/>
        </w:rPr>
        <w:t>This is still a close question because there was a strong dissent in this case. However, three may be the charm. The Court of Appeals for the 11</w:t>
      </w:r>
      <w:r w:rsidRPr="00DB334F">
        <w:rPr>
          <w:rFonts w:ascii="Times New Roman" w:hAnsi="Times New Roman" w:cs="Times New Roman"/>
          <w:szCs w:val="24"/>
          <w:vertAlign w:val="superscript"/>
        </w:rPr>
        <w:t>th</w:t>
      </w:r>
      <w:r w:rsidRPr="00DB334F">
        <w:rPr>
          <w:rFonts w:ascii="Times New Roman" w:hAnsi="Times New Roman" w:cs="Times New Roman"/>
          <w:szCs w:val="24"/>
        </w:rPr>
        <w:t xml:space="preserve"> Circuit does reach the same conclusion as the Courts of Appeals for both the 4</w:t>
      </w:r>
      <w:r w:rsidRPr="00DB334F">
        <w:rPr>
          <w:rFonts w:ascii="Times New Roman" w:hAnsi="Times New Roman" w:cs="Times New Roman"/>
          <w:szCs w:val="24"/>
          <w:vertAlign w:val="superscript"/>
        </w:rPr>
        <w:t>th</w:t>
      </w:r>
      <w:r w:rsidRPr="00DB334F">
        <w:rPr>
          <w:rFonts w:ascii="Times New Roman" w:hAnsi="Times New Roman" w:cs="Times New Roman"/>
          <w:szCs w:val="24"/>
        </w:rPr>
        <w:t xml:space="preserve"> and 5</w:t>
      </w:r>
      <w:r w:rsidRPr="00DB334F">
        <w:rPr>
          <w:rFonts w:ascii="Times New Roman" w:hAnsi="Times New Roman" w:cs="Times New Roman"/>
          <w:szCs w:val="24"/>
          <w:vertAlign w:val="superscript"/>
        </w:rPr>
        <w:t>th</w:t>
      </w:r>
      <w:r w:rsidRPr="00DB334F">
        <w:rPr>
          <w:rFonts w:ascii="Times New Roman" w:hAnsi="Times New Roman" w:cs="Times New Roman"/>
          <w:szCs w:val="24"/>
        </w:rPr>
        <w:t xml:space="preserve"> Circuits. </w:t>
      </w:r>
      <w:r w:rsidRPr="00DB334F">
        <w:rPr>
          <w:rFonts w:ascii="Times New Roman" w:hAnsi="Times New Roman" w:cs="Times New Roman"/>
          <w:i/>
          <w:iCs/>
          <w:szCs w:val="24"/>
        </w:rPr>
        <w:t>Cantwell-Cleary Co. v. Cleary Packaging LLC (In re Cleary Package, LLC)</w:t>
      </w:r>
      <w:r w:rsidRPr="00DB334F">
        <w:rPr>
          <w:rFonts w:ascii="Times New Roman" w:hAnsi="Times New Roman" w:cs="Times New Roman"/>
          <w:szCs w:val="24"/>
        </w:rPr>
        <w:t xml:space="preserve"> 36 F. 4</w:t>
      </w:r>
      <w:r w:rsidRPr="00DB334F">
        <w:rPr>
          <w:rFonts w:ascii="Times New Roman" w:hAnsi="Times New Roman" w:cs="Times New Roman"/>
          <w:szCs w:val="24"/>
          <w:vertAlign w:val="superscript"/>
        </w:rPr>
        <w:t>th</w:t>
      </w:r>
      <w:r w:rsidRPr="00DB334F">
        <w:rPr>
          <w:rFonts w:ascii="Times New Roman" w:hAnsi="Times New Roman" w:cs="Times New Roman"/>
          <w:szCs w:val="24"/>
        </w:rPr>
        <w:t xml:space="preserve"> 509 (4</w:t>
      </w:r>
      <w:r w:rsidRPr="00DB334F">
        <w:rPr>
          <w:rFonts w:ascii="Times New Roman" w:hAnsi="Times New Roman" w:cs="Times New Roman"/>
          <w:szCs w:val="24"/>
          <w:vertAlign w:val="superscript"/>
        </w:rPr>
        <w:t>th</w:t>
      </w:r>
      <w:r w:rsidRPr="00DB334F">
        <w:rPr>
          <w:rFonts w:ascii="Times New Roman" w:hAnsi="Times New Roman" w:cs="Times New Roman"/>
          <w:szCs w:val="24"/>
        </w:rPr>
        <w:t xml:space="preserve"> Cir. 2022) and </w:t>
      </w:r>
      <w:r w:rsidRPr="00DB334F">
        <w:rPr>
          <w:rFonts w:ascii="Times New Roman" w:hAnsi="Times New Roman" w:cs="Times New Roman"/>
          <w:i/>
          <w:iCs/>
          <w:szCs w:val="24"/>
        </w:rPr>
        <w:t>Avion Funding, LLC v. GFS Indus LLC</w:t>
      </w:r>
      <w:r w:rsidRPr="00DB334F">
        <w:rPr>
          <w:rFonts w:ascii="Times New Roman" w:hAnsi="Times New Roman" w:cs="Times New Roman"/>
          <w:szCs w:val="24"/>
        </w:rPr>
        <w:t xml:space="preserve"> (</w:t>
      </w:r>
      <w:r w:rsidRPr="00DB334F">
        <w:rPr>
          <w:rFonts w:ascii="Times New Roman" w:hAnsi="Times New Roman" w:cs="Times New Roman"/>
          <w:i/>
          <w:iCs/>
          <w:szCs w:val="24"/>
        </w:rPr>
        <w:t xml:space="preserve">In re GFS Indus. LLC) </w:t>
      </w:r>
      <w:r w:rsidRPr="00DB334F">
        <w:rPr>
          <w:rFonts w:ascii="Times New Roman" w:hAnsi="Times New Roman" w:cs="Times New Roman"/>
          <w:szCs w:val="24"/>
        </w:rPr>
        <w:t>99 F.4</w:t>
      </w:r>
      <w:r w:rsidRPr="00DB334F">
        <w:rPr>
          <w:rFonts w:ascii="Times New Roman" w:hAnsi="Times New Roman" w:cs="Times New Roman"/>
          <w:szCs w:val="24"/>
          <w:vertAlign w:val="superscript"/>
        </w:rPr>
        <w:t>th</w:t>
      </w:r>
      <w:r w:rsidRPr="00DB334F">
        <w:rPr>
          <w:rFonts w:ascii="Times New Roman" w:hAnsi="Times New Roman" w:cs="Times New Roman"/>
          <w:szCs w:val="24"/>
        </w:rPr>
        <w:t xml:space="preserve"> 223 (5</w:t>
      </w:r>
      <w:r w:rsidRPr="00DB334F">
        <w:rPr>
          <w:rFonts w:ascii="Times New Roman" w:hAnsi="Times New Roman" w:cs="Times New Roman"/>
          <w:szCs w:val="24"/>
          <w:vertAlign w:val="superscript"/>
        </w:rPr>
        <w:t>th</w:t>
      </w:r>
      <w:r w:rsidRPr="00DB334F">
        <w:rPr>
          <w:rFonts w:ascii="Times New Roman" w:hAnsi="Times New Roman" w:cs="Times New Roman"/>
          <w:szCs w:val="24"/>
        </w:rPr>
        <w:t xml:space="preserve"> Cir. 2024). </w:t>
      </w:r>
      <w:r>
        <w:rPr>
          <w:rFonts w:ascii="Times New Roman" w:hAnsi="Times New Roman" w:cs="Times New Roman"/>
          <w:szCs w:val="24"/>
        </w:rPr>
        <w:t>(Synopsis contributed by Ron Peterson and reprinted from CLLA CLW Issue 3 – 2025)</w:t>
      </w:r>
    </w:p>
    <w:p w14:paraId="180BC5DC" w14:textId="77777777" w:rsidR="00DB334F" w:rsidRPr="00DB334F" w:rsidRDefault="00DB334F" w:rsidP="00DC6B1C">
      <w:pPr>
        <w:rPr>
          <w:rFonts w:ascii="Times New Roman" w:hAnsi="Times New Roman" w:cs="Times New Roman"/>
          <w:b/>
          <w:bCs/>
        </w:rPr>
      </w:pPr>
    </w:p>
    <w:p w14:paraId="6486F136" w14:textId="439D45B0" w:rsidR="004249B1" w:rsidRDefault="004249B1" w:rsidP="00096D20">
      <w:pPr>
        <w:rPr>
          <w:rFonts w:ascii="Times New Roman" w:hAnsi="Times New Roman" w:cs="Times New Roman"/>
          <w:b/>
          <w:bCs/>
          <w:sz w:val="28"/>
          <w:szCs w:val="28"/>
          <w:u w:val="single"/>
        </w:rPr>
      </w:pPr>
      <w:r w:rsidRPr="00DB334F">
        <w:rPr>
          <w:rFonts w:ascii="Times New Roman" w:hAnsi="Times New Roman" w:cs="Times New Roman"/>
          <w:b/>
          <w:bCs/>
          <w:sz w:val="28"/>
          <w:szCs w:val="28"/>
          <w:u w:val="single"/>
        </w:rPr>
        <w:t xml:space="preserve">Appointment of Creditors’ Committee in Subchapter V </w:t>
      </w:r>
      <w:r w:rsidR="00DB334F">
        <w:rPr>
          <w:rFonts w:ascii="Times New Roman" w:hAnsi="Times New Roman" w:cs="Times New Roman"/>
          <w:b/>
          <w:bCs/>
          <w:sz w:val="28"/>
          <w:szCs w:val="28"/>
          <w:u w:val="single"/>
        </w:rPr>
        <w:t>C</w:t>
      </w:r>
      <w:r w:rsidRPr="00DB334F">
        <w:rPr>
          <w:rFonts w:ascii="Times New Roman" w:hAnsi="Times New Roman" w:cs="Times New Roman"/>
          <w:b/>
          <w:bCs/>
          <w:sz w:val="28"/>
          <w:szCs w:val="28"/>
          <w:u w:val="single"/>
        </w:rPr>
        <w:t>ases</w:t>
      </w:r>
    </w:p>
    <w:p w14:paraId="79F5F2D2" w14:textId="77777777" w:rsidR="00DB334F" w:rsidRDefault="00DB334F" w:rsidP="00096D20">
      <w:pPr>
        <w:rPr>
          <w:rFonts w:ascii="Times New Roman" w:hAnsi="Times New Roman" w:cs="Times New Roman"/>
          <w:b/>
          <w:bCs/>
          <w:sz w:val="28"/>
          <w:szCs w:val="28"/>
          <w:u w:val="single"/>
        </w:rPr>
      </w:pPr>
    </w:p>
    <w:p w14:paraId="78608791" w14:textId="791666F9" w:rsidR="00DB334F" w:rsidRDefault="00DB334F" w:rsidP="00096D20">
      <w:pPr>
        <w:rPr>
          <w:rFonts w:ascii="Times New Roman" w:hAnsi="Times New Roman" w:cs="Times New Roman"/>
          <w:b/>
          <w:bCs/>
          <w:sz w:val="28"/>
          <w:szCs w:val="28"/>
        </w:rPr>
      </w:pPr>
      <w:r>
        <w:rPr>
          <w:rFonts w:ascii="Times New Roman" w:hAnsi="Times New Roman" w:cs="Times New Roman"/>
          <w:b/>
          <w:bCs/>
          <w:sz w:val="28"/>
          <w:szCs w:val="28"/>
        </w:rPr>
        <w:t>In re Cinemex Holdings USA, Inc., CMX Cinemas, LLC and CB Theater Experience LLC., (</w:t>
      </w:r>
      <w:r w:rsidR="007B7F88" w:rsidRPr="007B7F88">
        <w:rPr>
          <w:rFonts w:ascii="Times New Roman" w:hAnsi="Times New Roman" w:cs="Times New Roman"/>
          <w:b/>
          <w:bCs/>
          <w:sz w:val="28"/>
          <w:szCs w:val="28"/>
        </w:rPr>
        <w:t>2025 WL 2489585</w:t>
      </w:r>
      <w:r w:rsidR="007B7F88">
        <w:rPr>
          <w:rFonts w:ascii="Times New Roman" w:hAnsi="Times New Roman" w:cs="Times New Roman"/>
          <w:b/>
          <w:bCs/>
          <w:sz w:val="28"/>
          <w:szCs w:val="28"/>
        </w:rPr>
        <w:t xml:space="preserve">, </w:t>
      </w:r>
      <w:r>
        <w:rPr>
          <w:rFonts w:ascii="Times New Roman" w:hAnsi="Times New Roman" w:cs="Times New Roman"/>
          <w:b/>
          <w:bCs/>
          <w:sz w:val="28"/>
          <w:szCs w:val="28"/>
        </w:rPr>
        <w:t>S.D. FL August 28, 2025)</w:t>
      </w:r>
    </w:p>
    <w:p w14:paraId="7B129C8D" w14:textId="479C7E17" w:rsidR="00B4771A" w:rsidRDefault="00DB334F" w:rsidP="00B4771A">
      <w:pPr>
        <w:rPr>
          <w:rFonts w:ascii="Times New Roman" w:hAnsi="Times New Roman" w:cs="Times New Roman"/>
          <w:sz w:val="28"/>
          <w:szCs w:val="28"/>
        </w:rPr>
      </w:pPr>
      <w:r>
        <w:rPr>
          <w:rFonts w:ascii="Times New Roman" w:hAnsi="Times New Roman" w:cs="Times New Roman"/>
          <w:sz w:val="28"/>
          <w:szCs w:val="28"/>
        </w:rPr>
        <w:t xml:space="preserve">This is a Subchapter V proceeding filed by Cinemex </w:t>
      </w:r>
      <w:r>
        <w:rPr>
          <w:rFonts w:ascii="Times New Roman" w:hAnsi="Times New Roman" w:cs="Times New Roman"/>
          <w:i/>
          <w:iCs/>
          <w:sz w:val="28"/>
          <w:szCs w:val="28"/>
        </w:rPr>
        <w:t xml:space="preserve">etal </w:t>
      </w:r>
      <w:r>
        <w:rPr>
          <w:rFonts w:ascii="Times New Roman" w:hAnsi="Times New Roman" w:cs="Times New Roman"/>
          <w:sz w:val="28"/>
          <w:szCs w:val="28"/>
        </w:rPr>
        <w:t xml:space="preserve">following a </w:t>
      </w:r>
      <w:r w:rsidR="0034746B">
        <w:rPr>
          <w:rFonts w:ascii="Times New Roman" w:hAnsi="Times New Roman" w:cs="Times New Roman"/>
          <w:sz w:val="28"/>
          <w:szCs w:val="28"/>
        </w:rPr>
        <w:t xml:space="preserve">successful confirmation of a chapter 11 Plan filed by the same debtors.  That case resulted in an Asset Sale </w:t>
      </w:r>
      <w:r w:rsidR="0034746B" w:rsidRPr="0034746B">
        <w:rPr>
          <w:rFonts w:ascii="Times New Roman" w:hAnsi="Times New Roman" w:cs="Times New Roman"/>
          <w:sz w:val="28"/>
          <w:szCs w:val="28"/>
        </w:rPr>
        <w:t>of Cinemex Holdings’ new common stock to Wine and Roses, S.A. de C.V. (“Wine &amp; Roses”), which was, at the time, an affiliate of the Debtors because both Wine &amp; Roses and the Debtors were affiliates of Entretenimiento GM de Mexico S.A. de C.V. (“Entretenimiento”). The Plan went effective on December 18, 2020 (Case No. 20-14695-LMI, ECF #973).</w:t>
      </w:r>
      <w:r w:rsidR="0034746B">
        <w:rPr>
          <w:rFonts w:ascii="Times New Roman" w:hAnsi="Times New Roman" w:cs="Times New Roman"/>
          <w:sz w:val="28"/>
          <w:szCs w:val="28"/>
        </w:rPr>
        <w:t xml:space="preserve">  On June 25, 2025, the Debtors filed the current Subchapter V bankruptcy.  The Debtors operate 28 movie theaters in eight different states, leasing each of those 28 premises.  As of the petition date, the Debtors claim total non-contingent, liquidated, non-affiliate obligations of approximately $1.9 million and a $50 million secured claim held by </w:t>
      </w:r>
      <w:r w:rsidR="0034746B">
        <w:rPr>
          <w:rFonts w:ascii="Times New Roman" w:hAnsi="Times New Roman" w:cs="Times New Roman"/>
          <w:sz w:val="28"/>
          <w:szCs w:val="28"/>
        </w:rPr>
        <w:lastRenderedPageBreak/>
        <w:t>the parent company, Wine and Roses.  MN Theat</w:t>
      </w:r>
      <w:r w:rsidR="00B4771A">
        <w:rPr>
          <w:rFonts w:ascii="Times New Roman" w:hAnsi="Times New Roman" w:cs="Times New Roman"/>
          <w:sz w:val="28"/>
          <w:szCs w:val="28"/>
        </w:rPr>
        <w:t>er</w:t>
      </w:r>
      <w:r w:rsidR="0034746B">
        <w:rPr>
          <w:rFonts w:ascii="Times New Roman" w:hAnsi="Times New Roman" w:cs="Times New Roman"/>
          <w:sz w:val="28"/>
          <w:szCs w:val="28"/>
        </w:rPr>
        <w:t>s, a creditor, has filed a Motion  for the Appointment of a Creditors Committee, arguing that “strong cause” exists because “</w:t>
      </w:r>
      <w:r w:rsidR="0034746B" w:rsidRPr="0034746B">
        <w:rPr>
          <w:rFonts w:ascii="Times New Roman" w:hAnsi="Times New Roman" w:cs="Times New Roman"/>
          <w:sz w:val="28"/>
          <w:szCs w:val="28"/>
        </w:rPr>
        <w:t>(1) there is a question of the Debtors’ eligibility for Subchapter V3; (2) unsecured creditors have no unified voice or representation in the absence of an official committee; and (3) the $50 million secured claim of the Debtors’ parent (Wine &amp; Roses) should be investigated by a committee because that debt may be recharacterized as equity.</w:t>
      </w:r>
      <w:r w:rsidR="0034746B">
        <w:rPr>
          <w:rFonts w:ascii="Times New Roman" w:hAnsi="Times New Roman" w:cs="Times New Roman"/>
          <w:sz w:val="28"/>
          <w:szCs w:val="28"/>
        </w:rPr>
        <w:t>”  Judge Isicoff acknowledg</w:t>
      </w:r>
      <w:r w:rsidR="00B4771A">
        <w:rPr>
          <w:rFonts w:ascii="Times New Roman" w:hAnsi="Times New Roman" w:cs="Times New Roman"/>
          <w:sz w:val="28"/>
          <w:szCs w:val="28"/>
        </w:rPr>
        <w:t>ed</w:t>
      </w:r>
      <w:r w:rsidR="0034746B">
        <w:rPr>
          <w:rFonts w:ascii="Times New Roman" w:hAnsi="Times New Roman" w:cs="Times New Roman"/>
          <w:sz w:val="28"/>
          <w:szCs w:val="28"/>
        </w:rPr>
        <w:t xml:space="preserve"> that a determination of “cause” is within the discretion of the court, </w:t>
      </w:r>
      <w:r w:rsidR="0034746B" w:rsidRPr="0034746B">
        <w:rPr>
          <w:rFonts w:ascii="Times New Roman" w:hAnsi="Times New Roman" w:cs="Times New Roman"/>
          <w:i/>
          <w:iCs/>
          <w:sz w:val="28"/>
          <w:szCs w:val="28"/>
        </w:rPr>
        <w:t>See In re Wildwood Villages, LLC</w:t>
      </w:r>
      <w:r w:rsidR="0034746B" w:rsidRPr="0034746B">
        <w:rPr>
          <w:rFonts w:ascii="Times New Roman" w:hAnsi="Times New Roman" w:cs="Times New Roman"/>
          <w:sz w:val="28"/>
          <w:szCs w:val="28"/>
        </w:rPr>
        <w:t>, 2021 WL 1784408, at *4 (Bankr. M.D. Fla. 2021)</w:t>
      </w:r>
      <w:r w:rsidR="00B4771A">
        <w:rPr>
          <w:rFonts w:ascii="Times New Roman" w:hAnsi="Times New Roman" w:cs="Times New Roman"/>
          <w:sz w:val="28"/>
          <w:szCs w:val="28"/>
        </w:rPr>
        <w:t xml:space="preserve">.  The one case cited by MN Theaters had 10,000 members who had no voice in the case.  This is contrasted to the instant case where there are a few hundred </w:t>
      </w:r>
      <w:proofErr w:type="gramStart"/>
      <w:r w:rsidR="00B4771A">
        <w:rPr>
          <w:rFonts w:ascii="Times New Roman" w:hAnsi="Times New Roman" w:cs="Times New Roman"/>
          <w:sz w:val="28"/>
          <w:szCs w:val="28"/>
        </w:rPr>
        <w:t>creditors</w:t>
      </w:r>
      <w:proofErr w:type="gramEnd"/>
      <w:r w:rsidR="00B4771A">
        <w:rPr>
          <w:rFonts w:ascii="Times New Roman" w:hAnsi="Times New Roman" w:cs="Times New Roman"/>
          <w:sz w:val="28"/>
          <w:szCs w:val="28"/>
        </w:rPr>
        <w:t xml:space="preserve"> and a Subchapter V </w:t>
      </w:r>
      <w:proofErr w:type="gramStart"/>
      <w:r w:rsidR="00B4771A">
        <w:rPr>
          <w:rFonts w:ascii="Times New Roman" w:hAnsi="Times New Roman" w:cs="Times New Roman"/>
          <w:sz w:val="28"/>
          <w:szCs w:val="28"/>
        </w:rPr>
        <w:t>trustee</w:t>
      </w:r>
      <w:proofErr w:type="gramEnd"/>
      <w:r w:rsidR="00B4771A">
        <w:rPr>
          <w:rFonts w:ascii="Times New Roman" w:hAnsi="Times New Roman" w:cs="Times New Roman"/>
          <w:sz w:val="28"/>
          <w:szCs w:val="28"/>
        </w:rPr>
        <w:t xml:space="preserve"> has been appointed who can investigate the Wine and Roses claim.  The court examined a non-exclusive list of factors to be considered –</w:t>
      </w:r>
    </w:p>
    <w:p w14:paraId="7C91559A" w14:textId="599E0D79" w:rsidR="00B4771A" w:rsidRPr="00B4771A" w:rsidRDefault="00B4771A" w:rsidP="00B4771A">
      <w:pPr>
        <w:rPr>
          <w:rFonts w:ascii="Times New Roman" w:hAnsi="Times New Roman" w:cs="Times New Roman"/>
          <w:sz w:val="28"/>
          <w:szCs w:val="28"/>
        </w:rPr>
      </w:pPr>
      <w:r w:rsidRPr="00B4771A">
        <w:rPr>
          <w:rFonts w:ascii="Times New Roman" w:hAnsi="Times New Roman" w:cs="Times New Roman"/>
          <w:sz w:val="28"/>
          <w:szCs w:val="28"/>
        </w:rPr>
        <w:t xml:space="preserve">(a) the size and complexity of the case (whether the case is one which more closely resembles a traditional chapter 11 case); </w:t>
      </w:r>
    </w:p>
    <w:p w14:paraId="6E8DF4EC" w14:textId="77777777" w:rsidR="00B4771A" w:rsidRPr="00B4771A" w:rsidRDefault="00B4771A" w:rsidP="00B4771A">
      <w:pPr>
        <w:rPr>
          <w:rFonts w:ascii="Times New Roman" w:hAnsi="Times New Roman" w:cs="Times New Roman"/>
          <w:sz w:val="28"/>
          <w:szCs w:val="28"/>
        </w:rPr>
      </w:pPr>
      <w:r w:rsidRPr="00B4771A">
        <w:rPr>
          <w:rFonts w:ascii="Times New Roman" w:hAnsi="Times New Roman" w:cs="Times New Roman"/>
          <w:sz w:val="28"/>
          <w:szCs w:val="28"/>
        </w:rPr>
        <w:t xml:space="preserve">(b) the number of creditors involved in the case and the nature of their debt; </w:t>
      </w:r>
    </w:p>
    <w:p w14:paraId="56F9E4DD" w14:textId="77777777" w:rsidR="00B4771A" w:rsidRPr="00B4771A" w:rsidRDefault="00B4771A" w:rsidP="00B4771A">
      <w:pPr>
        <w:rPr>
          <w:rFonts w:ascii="Times New Roman" w:hAnsi="Times New Roman" w:cs="Times New Roman"/>
          <w:sz w:val="28"/>
          <w:szCs w:val="28"/>
        </w:rPr>
      </w:pPr>
      <w:r w:rsidRPr="00B4771A">
        <w:rPr>
          <w:rFonts w:ascii="Times New Roman" w:hAnsi="Times New Roman" w:cs="Times New Roman"/>
          <w:sz w:val="28"/>
          <w:szCs w:val="28"/>
        </w:rPr>
        <w:t xml:space="preserve">(c) the nature of the debtor’s assets; </w:t>
      </w:r>
    </w:p>
    <w:p w14:paraId="4BCDD81D" w14:textId="77777777" w:rsidR="00B4771A" w:rsidRPr="00B4771A" w:rsidRDefault="00B4771A" w:rsidP="00B4771A">
      <w:pPr>
        <w:rPr>
          <w:rFonts w:ascii="Times New Roman" w:hAnsi="Times New Roman" w:cs="Times New Roman"/>
          <w:sz w:val="28"/>
          <w:szCs w:val="28"/>
        </w:rPr>
      </w:pPr>
      <w:r w:rsidRPr="00B4771A">
        <w:rPr>
          <w:rFonts w:ascii="Times New Roman" w:hAnsi="Times New Roman" w:cs="Times New Roman"/>
          <w:sz w:val="28"/>
          <w:szCs w:val="28"/>
        </w:rPr>
        <w:t xml:space="preserve">(d) the nature of the debtor’s business and how it is regulated; </w:t>
      </w:r>
    </w:p>
    <w:p w14:paraId="78AD0CB9" w14:textId="32E8A49B" w:rsidR="00DB334F" w:rsidRDefault="00B4771A" w:rsidP="00B4771A">
      <w:pPr>
        <w:rPr>
          <w:rFonts w:ascii="Times New Roman" w:hAnsi="Times New Roman" w:cs="Times New Roman"/>
          <w:sz w:val="28"/>
          <w:szCs w:val="28"/>
        </w:rPr>
      </w:pPr>
      <w:r w:rsidRPr="00B4771A">
        <w:rPr>
          <w:rFonts w:ascii="Times New Roman" w:hAnsi="Times New Roman" w:cs="Times New Roman"/>
          <w:sz w:val="28"/>
          <w:szCs w:val="28"/>
        </w:rPr>
        <w:t>(e) the amount of secured debt, the number of secured creditors, and the nature of the collateral in which such creditors assert a lien;</w:t>
      </w:r>
    </w:p>
    <w:p w14:paraId="484F594C" w14:textId="77777777" w:rsidR="00B4771A" w:rsidRDefault="00B4771A" w:rsidP="00B4771A">
      <w:pPr>
        <w:rPr>
          <w:rFonts w:ascii="Times New Roman" w:hAnsi="Times New Roman" w:cs="Times New Roman"/>
          <w:sz w:val="28"/>
          <w:szCs w:val="28"/>
        </w:rPr>
      </w:pPr>
      <w:r w:rsidRPr="00B4771A">
        <w:rPr>
          <w:rFonts w:ascii="Times New Roman" w:hAnsi="Times New Roman" w:cs="Times New Roman"/>
          <w:sz w:val="28"/>
          <w:szCs w:val="28"/>
        </w:rPr>
        <w:t xml:space="preserve">(f) whether and to what extent any other creditor or other party in interest supports the relief requested; </w:t>
      </w:r>
    </w:p>
    <w:p w14:paraId="5059B105" w14:textId="4C8F07E0" w:rsidR="00B4771A" w:rsidRDefault="00B4771A" w:rsidP="00B4771A">
      <w:pPr>
        <w:rPr>
          <w:rFonts w:ascii="Times New Roman" w:hAnsi="Times New Roman" w:cs="Times New Roman"/>
          <w:sz w:val="28"/>
          <w:szCs w:val="28"/>
        </w:rPr>
      </w:pPr>
      <w:r w:rsidRPr="00B4771A">
        <w:rPr>
          <w:rFonts w:ascii="Times New Roman" w:hAnsi="Times New Roman" w:cs="Times New Roman"/>
          <w:sz w:val="28"/>
          <w:szCs w:val="28"/>
        </w:rPr>
        <w:t>(g) whether there are any other factors present in the case which, notwithstanding section 1183(b)(2), would interfere with the ability of the Subchapter V trustee to perform his or her normal statutory duties effectively.</w:t>
      </w:r>
      <w:r>
        <w:rPr>
          <w:rFonts w:ascii="Times New Roman" w:hAnsi="Times New Roman" w:cs="Times New Roman"/>
          <w:sz w:val="28"/>
          <w:szCs w:val="28"/>
        </w:rPr>
        <w:t xml:space="preserve">  </w:t>
      </w:r>
    </w:p>
    <w:p w14:paraId="4A2C2618" w14:textId="6CC7D113" w:rsidR="00B4771A" w:rsidRDefault="00B4771A" w:rsidP="00B4771A">
      <w:pPr>
        <w:rPr>
          <w:rFonts w:ascii="Times New Roman" w:hAnsi="Times New Roman" w:cs="Times New Roman"/>
          <w:sz w:val="28"/>
          <w:szCs w:val="28"/>
        </w:rPr>
      </w:pPr>
      <w:r>
        <w:rPr>
          <w:rFonts w:ascii="Times New Roman" w:hAnsi="Times New Roman" w:cs="Times New Roman"/>
          <w:sz w:val="28"/>
          <w:szCs w:val="28"/>
        </w:rPr>
        <w:t>Applying these factors, and the fact that no other creditor joined in the motion, the court found that MN had not established sufficient cause for the appointment of  creditors’ committee.</w:t>
      </w:r>
    </w:p>
    <w:p w14:paraId="6FA58EE7" w14:textId="77777777" w:rsidR="004249B1" w:rsidRPr="00DB334F" w:rsidRDefault="004249B1" w:rsidP="00096D20">
      <w:pPr>
        <w:rPr>
          <w:rFonts w:ascii="Times New Roman" w:hAnsi="Times New Roman" w:cs="Times New Roman"/>
          <w:b/>
          <w:bCs/>
          <w:u w:val="single"/>
        </w:rPr>
      </w:pPr>
    </w:p>
    <w:p w14:paraId="190A0CC9" w14:textId="77777777" w:rsidR="004249B1" w:rsidRPr="00DB334F" w:rsidRDefault="004249B1" w:rsidP="00096D20">
      <w:pPr>
        <w:rPr>
          <w:rFonts w:ascii="Times New Roman" w:hAnsi="Times New Roman" w:cs="Times New Roman"/>
          <w:b/>
          <w:bCs/>
          <w:u w:val="single"/>
        </w:rPr>
      </w:pPr>
    </w:p>
    <w:p w14:paraId="5DBBE2BF" w14:textId="68210C38" w:rsidR="004249B1" w:rsidRDefault="004249B1" w:rsidP="00096D20">
      <w:pPr>
        <w:rPr>
          <w:rFonts w:ascii="Times New Roman" w:hAnsi="Times New Roman" w:cs="Times New Roman"/>
          <w:b/>
          <w:bCs/>
          <w:sz w:val="28"/>
          <w:szCs w:val="28"/>
          <w:u w:val="single"/>
        </w:rPr>
      </w:pPr>
      <w:r w:rsidRPr="00B4771A">
        <w:rPr>
          <w:rFonts w:ascii="Times New Roman" w:hAnsi="Times New Roman" w:cs="Times New Roman"/>
          <w:b/>
          <w:bCs/>
          <w:sz w:val="28"/>
          <w:szCs w:val="28"/>
          <w:u w:val="single"/>
        </w:rPr>
        <w:t xml:space="preserve">Must Subchapter V </w:t>
      </w:r>
      <w:r w:rsidR="00B4771A" w:rsidRPr="00B4771A">
        <w:rPr>
          <w:rFonts w:ascii="Times New Roman" w:hAnsi="Times New Roman" w:cs="Times New Roman"/>
          <w:b/>
          <w:bCs/>
          <w:sz w:val="28"/>
          <w:szCs w:val="28"/>
          <w:u w:val="single"/>
        </w:rPr>
        <w:t>Debtors “True Up” Their Disposable Income?</w:t>
      </w:r>
    </w:p>
    <w:p w14:paraId="585B1969" w14:textId="78F38AC1" w:rsidR="00B4771A" w:rsidRDefault="00B4771A" w:rsidP="00096D20">
      <w:pPr>
        <w:rPr>
          <w:rFonts w:ascii="Times New Roman" w:hAnsi="Times New Roman" w:cs="Times New Roman"/>
        </w:rPr>
      </w:pPr>
    </w:p>
    <w:p w14:paraId="01190E7E" w14:textId="2360AC54" w:rsidR="00B4771A" w:rsidRDefault="00B4771A" w:rsidP="00096D20">
      <w:pPr>
        <w:rPr>
          <w:rFonts w:ascii="Times New Roman" w:hAnsi="Times New Roman" w:cs="Times New Roman"/>
          <w:b/>
          <w:bCs/>
        </w:rPr>
      </w:pPr>
      <w:r>
        <w:rPr>
          <w:rFonts w:ascii="Times New Roman" w:hAnsi="Times New Roman" w:cs="Times New Roman"/>
          <w:b/>
          <w:bCs/>
        </w:rPr>
        <w:t xml:space="preserve">In re Packet Construction, LLC. , </w:t>
      </w:r>
      <w:r w:rsidR="007B7F88">
        <w:rPr>
          <w:rFonts w:ascii="Times New Roman" w:hAnsi="Times New Roman" w:cs="Times New Roman"/>
          <w:b/>
          <w:bCs/>
        </w:rPr>
        <w:t xml:space="preserve"> (</w:t>
      </w:r>
      <w:r w:rsidR="007B7F88" w:rsidRPr="007B7F88">
        <w:rPr>
          <w:rFonts w:ascii="Times New Roman" w:hAnsi="Times New Roman" w:cs="Times New Roman"/>
          <w:b/>
          <w:bCs/>
        </w:rPr>
        <w:t>2024 WL 1926345</w:t>
      </w:r>
      <w:r w:rsidR="007B7F88">
        <w:rPr>
          <w:rFonts w:ascii="Times New Roman" w:hAnsi="Times New Roman" w:cs="Times New Roman"/>
          <w:b/>
          <w:bCs/>
        </w:rPr>
        <w:t xml:space="preserve"> </w:t>
      </w:r>
      <w:r>
        <w:rPr>
          <w:rFonts w:ascii="Times New Roman" w:hAnsi="Times New Roman" w:cs="Times New Roman"/>
          <w:b/>
          <w:bCs/>
        </w:rPr>
        <w:t xml:space="preserve">W.D. TX, </w:t>
      </w:r>
      <w:r w:rsidR="007B7F88">
        <w:rPr>
          <w:rFonts w:ascii="Times New Roman" w:hAnsi="Times New Roman" w:cs="Times New Roman"/>
          <w:b/>
          <w:bCs/>
        </w:rPr>
        <w:t>2024)</w:t>
      </w:r>
    </w:p>
    <w:p w14:paraId="60EC4B0E" w14:textId="3693CB42" w:rsidR="000B678C" w:rsidRPr="000B678C" w:rsidRDefault="000B678C" w:rsidP="000B678C">
      <w:pPr>
        <w:rPr>
          <w:rFonts w:ascii="Times New Roman" w:hAnsi="Times New Roman" w:cs="Times New Roman"/>
        </w:rPr>
      </w:pPr>
      <w:r>
        <w:rPr>
          <w:rFonts w:ascii="Times New Roman" w:hAnsi="Times New Roman" w:cs="Times New Roman"/>
        </w:rPr>
        <w:t>This case discussed the question of whether or not a Subchapter V debtor should be required to true up their plan payments if actual income exceeds disposable income.</w:t>
      </w:r>
      <w:r w:rsidR="00B4771A">
        <w:rPr>
          <w:rFonts w:ascii="Times New Roman" w:hAnsi="Times New Roman" w:cs="Times New Roman"/>
          <w:b/>
          <w:bCs/>
        </w:rPr>
        <w:t xml:space="preserve"> </w:t>
      </w:r>
      <w:r>
        <w:rPr>
          <w:rFonts w:ascii="Times New Roman" w:hAnsi="Times New Roman" w:cs="Times New Roman"/>
        </w:rPr>
        <w:t>The trustee initially objected to Plan Confirmation on several bases but most of those were resolved, the objection to the proposed plan payments stated:  “</w:t>
      </w:r>
      <w:r w:rsidRPr="000B678C">
        <w:rPr>
          <w:rFonts w:ascii="Times New Roman" w:hAnsi="Times New Roman" w:cs="Times New Roman"/>
          <w:b/>
          <w:bCs/>
        </w:rPr>
        <w:t>Projections v. Actual Disposable Income</w:t>
      </w:r>
      <w:r w:rsidRPr="000B678C">
        <w:rPr>
          <w:rFonts w:ascii="Times New Roman" w:hAnsi="Times New Roman" w:cs="Times New Roman"/>
        </w:rPr>
        <w:t>: Debtor should be directed to pay actual</w:t>
      </w:r>
      <w:r>
        <w:rPr>
          <w:rFonts w:ascii="Times New Roman" w:hAnsi="Times New Roman" w:cs="Times New Roman"/>
        </w:rPr>
        <w:t xml:space="preserve"> </w:t>
      </w:r>
      <w:r w:rsidRPr="000B678C">
        <w:rPr>
          <w:rFonts w:ascii="Times New Roman" w:hAnsi="Times New Roman" w:cs="Times New Roman"/>
        </w:rPr>
        <w:t>income to creditors to the extent projected disposable income as stated in the Plan</w:t>
      </w:r>
      <w:r>
        <w:rPr>
          <w:rFonts w:ascii="Times New Roman" w:hAnsi="Times New Roman" w:cs="Times New Roman"/>
        </w:rPr>
        <w:t xml:space="preserve"> </w:t>
      </w:r>
      <w:r w:rsidRPr="000B678C">
        <w:rPr>
          <w:rFonts w:ascii="Times New Roman" w:hAnsi="Times New Roman" w:cs="Times New Roman"/>
        </w:rPr>
        <w:t xml:space="preserve">exceeds projected income. </w:t>
      </w:r>
      <w:r w:rsidRPr="000B678C">
        <w:rPr>
          <w:rFonts w:ascii="Times New Roman" w:hAnsi="Times New Roman" w:cs="Times New Roman"/>
          <w:i/>
          <w:iCs/>
        </w:rPr>
        <w:t>See, In re Staples</w:t>
      </w:r>
      <w:r w:rsidRPr="000B678C">
        <w:rPr>
          <w:rFonts w:ascii="Times New Roman" w:hAnsi="Times New Roman" w:cs="Times New Roman"/>
        </w:rPr>
        <w:t>, 2023 W.L. 11943 (M.D. Fla. Jan. 6,</w:t>
      </w:r>
    </w:p>
    <w:p w14:paraId="2B94AA70" w14:textId="4379F7D2" w:rsidR="000B678C" w:rsidRPr="000B678C" w:rsidRDefault="000B678C" w:rsidP="000B678C">
      <w:pPr>
        <w:rPr>
          <w:rFonts w:ascii="Times New Roman" w:hAnsi="Times New Roman" w:cs="Times New Roman"/>
        </w:rPr>
      </w:pPr>
      <w:r w:rsidRPr="000B678C">
        <w:rPr>
          <w:rFonts w:ascii="Times New Roman" w:hAnsi="Times New Roman" w:cs="Times New Roman"/>
        </w:rPr>
        <w:t>2023). Upon confirmation, the Court should require Debtor to “true up” actual</w:t>
      </w:r>
      <w:r>
        <w:rPr>
          <w:rFonts w:ascii="Times New Roman" w:hAnsi="Times New Roman" w:cs="Times New Roman"/>
        </w:rPr>
        <w:t xml:space="preserve"> </w:t>
      </w:r>
      <w:r w:rsidRPr="000B678C">
        <w:rPr>
          <w:rFonts w:ascii="Times New Roman" w:hAnsi="Times New Roman" w:cs="Times New Roman"/>
        </w:rPr>
        <w:t>disposable income – to reflect any increase above the projected disposable income</w:t>
      </w:r>
      <w:r>
        <w:rPr>
          <w:rFonts w:ascii="Times New Roman" w:hAnsi="Times New Roman" w:cs="Times New Roman"/>
        </w:rPr>
        <w:t xml:space="preserve"> </w:t>
      </w:r>
      <w:r w:rsidRPr="000B678C">
        <w:rPr>
          <w:rFonts w:ascii="Times New Roman" w:hAnsi="Times New Roman" w:cs="Times New Roman"/>
        </w:rPr>
        <w:t>and make actual net disposable income available to creditors. Debtor should be</w:t>
      </w:r>
      <w:r>
        <w:rPr>
          <w:rFonts w:ascii="Times New Roman" w:hAnsi="Times New Roman" w:cs="Times New Roman"/>
        </w:rPr>
        <w:t xml:space="preserve"> </w:t>
      </w:r>
      <w:r w:rsidRPr="000B678C">
        <w:rPr>
          <w:rFonts w:ascii="Times New Roman" w:hAnsi="Times New Roman" w:cs="Times New Roman"/>
        </w:rPr>
        <w:t xml:space="preserve">required to provide semi-annual or </w:t>
      </w:r>
      <w:r w:rsidRPr="000B678C">
        <w:rPr>
          <w:rFonts w:ascii="Times New Roman" w:hAnsi="Times New Roman" w:cs="Times New Roman"/>
        </w:rPr>
        <w:lastRenderedPageBreak/>
        <w:t>annual financials to the Sub V Trustee if the</w:t>
      </w:r>
      <w:r>
        <w:rPr>
          <w:rFonts w:ascii="Times New Roman" w:hAnsi="Times New Roman" w:cs="Times New Roman"/>
        </w:rPr>
        <w:t xml:space="preserve"> </w:t>
      </w:r>
      <w:r w:rsidRPr="000B678C">
        <w:rPr>
          <w:rFonts w:ascii="Times New Roman" w:hAnsi="Times New Roman" w:cs="Times New Roman"/>
        </w:rPr>
        <w:t>Plan is confirmed under § 1191(b), whereupon the Sub V Trustee will recommend</w:t>
      </w:r>
      <w:r>
        <w:rPr>
          <w:rFonts w:ascii="Times New Roman" w:hAnsi="Times New Roman" w:cs="Times New Roman"/>
        </w:rPr>
        <w:t xml:space="preserve"> </w:t>
      </w:r>
      <w:r w:rsidRPr="000B678C">
        <w:rPr>
          <w:rFonts w:ascii="Times New Roman" w:hAnsi="Times New Roman" w:cs="Times New Roman"/>
        </w:rPr>
        <w:t>increase of disposable income payments if financials reflect an increase</w:t>
      </w:r>
      <w:r>
        <w:rPr>
          <w:rFonts w:ascii="Times New Roman" w:hAnsi="Times New Roman" w:cs="Times New Roman"/>
        </w:rPr>
        <w:t xml:space="preserve"> </w:t>
      </w:r>
      <w:r w:rsidRPr="000B678C">
        <w:rPr>
          <w:rFonts w:ascii="Times New Roman" w:hAnsi="Times New Roman" w:cs="Times New Roman"/>
        </w:rPr>
        <w:t>in disposable income over Projections. If Debtor disagrees, the issue can then be</w:t>
      </w:r>
    </w:p>
    <w:p w14:paraId="3B7105CF" w14:textId="0A66A3DA" w:rsidR="000B678C" w:rsidRDefault="000B678C" w:rsidP="000B678C">
      <w:pPr>
        <w:rPr>
          <w:rFonts w:ascii="Times New Roman" w:hAnsi="Times New Roman" w:cs="Times New Roman"/>
        </w:rPr>
      </w:pPr>
      <w:r w:rsidRPr="000B678C">
        <w:rPr>
          <w:rFonts w:ascii="Times New Roman" w:hAnsi="Times New Roman" w:cs="Times New Roman"/>
        </w:rPr>
        <w:t>presented to the Court for resolution.</w:t>
      </w:r>
      <w:r>
        <w:rPr>
          <w:rFonts w:ascii="Times New Roman" w:hAnsi="Times New Roman" w:cs="Times New Roman"/>
        </w:rPr>
        <w:t xml:space="preserve">”  The Court discussed the requirement for the debtor’s </w:t>
      </w:r>
      <w:r>
        <w:rPr>
          <w:rFonts w:ascii="Times New Roman" w:hAnsi="Times New Roman" w:cs="Times New Roman"/>
          <w:b/>
          <w:bCs/>
        </w:rPr>
        <w:t xml:space="preserve">projected </w:t>
      </w:r>
      <w:r>
        <w:rPr>
          <w:rFonts w:ascii="Times New Roman" w:hAnsi="Times New Roman" w:cs="Times New Roman"/>
        </w:rPr>
        <w:t>“disposable income” to be distributed under the Plan and said that to require a “true up” would remove the “future-looking element indicated by the word ‘projected’.”  There is only one reported case on this topic (see below)</w:t>
      </w:r>
      <w:r w:rsidR="00657CF2">
        <w:rPr>
          <w:rFonts w:ascii="Times New Roman" w:hAnsi="Times New Roman" w:cs="Times New Roman"/>
        </w:rPr>
        <w:t>.  The court found no special circumstances in this case which would require a “true up”.  The court noted specifically that only the debtor can modify the Plan in the future.  Therefore, finding no basis, the court denied the trustee’s objection to the Plan and did not mandate a “true-up”.</w:t>
      </w:r>
    </w:p>
    <w:p w14:paraId="44015EFA" w14:textId="77777777" w:rsidR="00657CF2" w:rsidRDefault="00657CF2" w:rsidP="000B678C">
      <w:pPr>
        <w:rPr>
          <w:rFonts w:ascii="Times New Roman" w:hAnsi="Times New Roman" w:cs="Times New Roman"/>
        </w:rPr>
      </w:pPr>
    </w:p>
    <w:p w14:paraId="7CC06ED5" w14:textId="712B64F4" w:rsidR="00657CF2" w:rsidRDefault="00657CF2" w:rsidP="000B678C">
      <w:pPr>
        <w:rPr>
          <w:rFonts w:ascii="Times New Roman" w:hAnsi="Times New Roman" w:cs="Times New Roman"/>
          <w:b/>
          <w:bCs/>
          <w:u w:val="single"/>
        </w:rPr>
      </w:pPr>
      <w:r>
        <w:rPr>
          <w:rFonts w:ascii="Times New Roman" w:hAnsi="Times New Roman" w:cs="Times New Roman"/>
          <w:b/>
          <w:bCs/>
          <w:u w:val="single"/>
        </w:rPr>
        <w:t>In re Staples, 2023 WL 119431 (M.D. Fl. 2023)</w:t>
      </w:r>
    </w:p>
    <w:p w14:paraId="47DB9FEF" w14:textId="4EE53690" w:rsidR="00EA6DFC" w:rsidRPr="00EA6DFC" w:rsidRDefault="00657CF2" w:rsidP="00EA6DFC">
      <w:pPr>
        <w:rPr>
          <w:rFonts w:ascii="Times New Roman" w:hAnsi="Times New Roman" w:cs="Times New Roman"/>
        </w:rPr>
      </w:pPr>
      <w:r>
        <w:rPr>
          <w:rFonts w:ascii="Times New Roman" w:hAnsi="Times New Roman" w:cs="Times New Roman"/>
        </w:rPr>
        <w:t>The Debtor in this case had confirmed a Subchapter V Plan.  Thereafter, the Bankruptcy Court issued a “Corrective Order” requiring the debtor to prepare quarterly reports on a post-confirmation basis an</w:t>
      </w:r>
      <w:r w:rsidRPr="00EA6DFC">
        <w:rPr>
          <w:rFonts w:ascii="Times New Roman" w:hAnsi="Times New Roman" w:cs="Times New Roman"/>
        </w:rPr>
        <w:t xml:space="preserve">d </w:t>
      </w:r>
      <w:r w:rsidR="00EA6DFC" w:rsidRPr="00EA6DFC">
        <w:rPr>
          <w:rFonts w:ascii="Times New Roman" w:hAnsi="Times New Roman" w:cs="Times New Roman"/>
        </w:rPr>
        <w:t xml:space="preserve">required that </w:t>
      </w:r>
      <w:r w:rsidRPr="00EA6DFC">
        <w:rPr>
          <w:rFonts w:ascii="Times New Roman" w:hAnsi="Times New Roman" w:cs="Times New Roman"/>
        </w:rPr>
        <w:t>“</w:t>
      </w:r>
      <w:r w:rsidR="00EA6DFC" w:rsidRPr="00EA6DFC">
        <w:rPr>
          <w:rFonts w:ascii="Times New Roman" w:hAnsi="Times New Roman" w:cs="Times New Roman"/>
        </w:rPr>
        <w:t>[T]he distributions to Class 7 unsecured creditors</w:t>
      </w:r>
    </w:p>
    <w:p w14:paraId="22FF5957" w14:textId="2EE1F309" w:rsidR="00EA6DFC" w:rsidRPr="00EA6DFC" w:rsidRDefault="00EA6DFC" w:rsidP="00EA6DFC">
      <w:pPr>
        <w:rPr>
          <w:rFonts w:ascii="Times New Roman" w:hAnsi="Times New Roman" w:cs="Times New Roman"/>
        </w:rPr>
      </w:pPr>
      <w:r w:rsidRPr="00EA6DFC">
        <w:rPr>
          <w:rFonts w:ascii="Times New Roman" w:hAnsi="Times New Roman" w:cs="Times New Roman"/>
        </w:rPr>
        <w:t>will be based upon the Debtor's actual disposable income as reflected on the quarterly operating reports.” Instead of based on projected disposable income.  The Debtor appealed and said that these requirements conflict with 11 U.S.C. §§ 1191(d), 1191(c)(2)(a), and</w:t>
      </w:r>
      <w:r>
        <w:rPr>
          <w:rFonts w:ascii="Times New Roman" w:hAnsi="Times New Roman" w:cs="Times New Roman"/>
        </w:rPr>
        <w:t xml:space="preserve"> </w:t>
      </w:r>
      <w:r w:rsidRPr="00EA6DFC">
        <w:rPr>
          <w:rFonts w:ascii="Times New Roman" w:hAnsi="Times New Roman" w:cs="Times New Roman"/>
        </w:rPr>
        <w:t>1191(c)(2)(b), and that the Bankruptcy Court had no legal authority to impose the requirements.</w:t>
      </w:r>
      <w:r>
        <w:rPr>
          <w:rFonts w:ascii="Times New Roman" w:hAnsi="Times New Roman" w:cs="Times New Roman"/>
        </w:rPr>
        <w:t xml:space="preserve">  The District Court did not discuss the reasons behind the Bankruptcy Court’s decision but opined on the authority of the Bankruptcy Court to issue such a ruling.  The District Court found that the Bankruptcy Court has authority under 11 U.S.C. §105 and the “All Writs Act” [</w:t>
      </w:r>
      <w:r w:rsidRPr="00EA6DFC">
        <w:rPr>
          <w:rFonts w:ascii="Times New Roman" w:hAnsi="Times New Roman" w:cs="Times New Roman"/>
        </w:rPr>
        <w:t>The All Writs Act provides:</w:t>
      </w:r>
    </w:p>
    <w:p w14:paraId="54690730" w14:textId="7BF44083" w:rsidR="00657CF2" w:rsidRDefault="00EA6DFC" w:rsidP="00EA6DFC">
      <w:pPr>
        <w:rPr>
          <w:rFonts w:ascii="Times New Roman" w:hAnsi="Times New Roman" w:cs="Times New Roman"/>
        </w:rPr>
      </w:pPr>
      <w:r w:rsidRPr="00EA6DFC">
        <w:rPr>
          <w:rFonts w:ascii="Times New Roman" w:hAnsi="Times New Roman" w:cs="Times New Roman"/>
        </w:rPr>
        <w:t>“The Supreme Court and all courts established by</w:t>
      </w:r>
      <w:r>
        <w:rPr>
          <w:rFonts w:ascii="Times New Roman" w:hAnsi="Times New Roman" w:cs="Times New Roman"/>
        </w:rPr>
        <w:t xml:space="preserve"> </w:t>
      </w:r>
      <w:r w:rsidRPr="00EA6DFC">
        <w:rPr>
          <w:rFonts w:ascii="Times New Roman" w:hAnsi="Times New Roman" w:cs="Times New Roman"/>
        </w:rPr>
        <w:t>Act of Congress may issue all writs necessary or</w:t>
      </w:r>
      <w:r>
        <w:rPr>
          <w:rFonts w:ascii="Times New Roman" w:hAnsi="Times New Roman" w:cs="Times New Roman"/>
        </w:rPr>
        <w:t xml:space="preserve"> </w:t>
      </w:r>
      <w:r w:rsidRPr="00EA6DFC">
        <w:rPr>
          <w:rFonts w:ascii="Times New Roman" w:hAnsi="Times New Roman" w:cs="Times New Roman"/>
        </w:rPr>
        <w:t>appropriate in aid of their respective jurisdictions</w:t>
      </w:r>
      <w:r>
        <w:rPr>
          <w:rFonts w:ascii="Times New Roman" w:hAnsi="Times New Roman" w:cs="Times New Roman"/>
        </w:rPr>
        <w:t xml:space="preserve"> </w:t>
      </w:r>
      <w:r w:rsidRPr="00EA6DFC">
        <w:rPr>
          <w:rFonts w:ascii="Times New Roman" w:hAnsi="Times New Roman" w:cs="Times New Roman"/>
        </w:rPr>
        <w:t>and agreeable to the usages and principles of law.”</w:t>
      </w:r>
      <w:r>
        <w:rPr>
          <w:rFonts w:ascii="Times New Roman" w:hAnsi="Times New Roman" w:cs="Times New Roman"/>
        </w:rPr>
        <w:t xml:space="preserve"> </w:t>
      </w:r>
      <w:r w:rsidRPr="00EA6DFC">
        <w:rPr>
          <w:rFonts w:ascii="Times New Roman" w:hAnsi="Times New Roman" w:cs="Times New Roman"/>
        </w:rPr>
        <w:t>28 U.S.C. § 1651(a).</w:t>
      </w:r>
      <w:r>
        <w:rPr>
          <w:rFonts w:ascii="Times New Roman" w:hAnsi="Times New Roman" w:cs="Times New Roman"/>
        </w:rPr>
        <w:t>]  The District Court found that the challenged provisions in the “Corrective Order” “were clearly necessary and appropriate under the facts of this case.”</w:t>
      </w:r>
    </w:p>
    <w:p w14:paraId="33A45DE9" w14:textId="77777777" w:rsidR="00EA6DFC" w:rsidRDefault="00EA6DFC" w:rsidP="00EA6DFC">
      <w:pPr>
        <w:rPr>
          <w:rFonts w:ascii="Times New Roman" w:hAnsi="Times New Roman" w:cs="Times New Roman"/>
        </w:rPr>
      </w:pPr>
    </w:p>
    <w:p w14:paraId="3004022C" w14:textId="77777777" w:rsidR="00B4771A" w:rsidRPr="00DB334F" w:rsidRDefault="00B4771A" w:rsidP="00B4771A">
      <w:pPr>
        <w:rPr>
          <w:rFonts w:ascii="Times New Roman" w:hAnsi="Times New Roman" w:cs="Times New Roman"/>
          <w:b/>
          <w:bCs/>
          <w:u w:val="single"/>
        </w:rPr>
      </w:pPr>
    </w:p>
    <w:p w14:paraId="24D414BF" w14:textId="77777777" w:rsidR="00B4771A" w:rsidRDefault="00B4771A" w:rsidP="00B4771A">
      <w:pPr>
        <w:rPr>
          <w:rFonts w:ascii="Times New Roman" w:hAnsi="Times New Roman" w:cs="Times New Roman"/>
          <w:b/>
          <w:bCs/>
          <w:sz w:val="28"/>
          <w:szCs w:val="28"/>
          <w:u w:val="single"/>
        </w:rPr>
      </w:pPr>
      <w:r w:rsidRPr="00C74DBC">
        <w:rPr>
          <w:rFonts w:ascii="Times New Roman" w:hAnsi="Times New Roman" w:cs="Times New Roman"/>
          <w:b/>
          <w:bCs/>
          <w:sz w:val="28"/>
          <w:szCs w:val="28"/>
          <w:u w:val="single"/>
        </w:rPr>
        <w:t>Discharge does not equal Extinguishment</w:t>
      </w:r>
    </w:p>
    <w:p w14:paraId="2E06A84F" w14:textId="77777777" w:rsidR="00AA42C4" w:rsidRDefault="00AA42C4" w:rsidP="00B4771A">
      <w:pPr>
        <w:rPr>
          <w:rFonts w:ascii="Times New Roman" w:hAnsi="Times New Roman" w:cs="Times New Roman"/>
          <w:b/>
          <w:bCs/>
          <w:sz w:val="28"/>
          <w:szCs w:val="28"/>
          <w:u w:val="single"/>
        </w:rPr>
      </w:pPr>
    </w:p>
    <w:p w14:paraId="615B7D4D" w14:textId="4E662EEF" w:rsidR="00AA42C4" w:rsidRDefault="00AA42C4" w:rsidP="00B4771A">
      <w:pPr>
        <w:rPr>
          <w:rFonts w:ascii="Times New Roman" w:hAnsi="Times New Roman" w:cs="Times New Roman"/>
          <w:b/>
          <w:bCs/>
          <w:sz w:val="28"/>
          <w:szCs w:val="28"/>
        </w:rPr>
      </w:pPr>
      <w:r w:rsidRPr="00AA42C4">
        <w:rPr>
          <w:rFonts w:ascii="Times New Roman" w:hAnsi="Times New Roman" w:cs="Times New Roman"/>
          <w:b/>
          <w:bCs/>
          <w:sz w:val="28"/>
          <w:szCs w:val="28"/>
        </w:rPr>
        <w:t>In re Dynamic Offshore Resources NS, L.L.C., 2025 WL 1651901</w:t>
      </w:r>
      <w:r>
        <w:rPr>
          <w:rFonts w:ascii="Times New Roman" w:hAnsi="Times New Roman" w:cs="Times New Roman"/>
          <w:b/>
          <w:bCs/>
          <w:sz w:val="28"/>
          <w:szCs w:val="28"/>
        </w:rPr>
        <w:t xml:space="preserve"> (5 CA 6/11/2025)</w:t>
      </w:r>
    </w:p>
    <w:p w14:paraId="772CB727" w14:textId="19A17D02" w:rsidR="00B4771A" w:rsidRDefault="00AA42C4" w:rsidP="00B4771A">
      <w:pPr>
        <w:rPr>
          <w:rFonts w:ascii="Times New Roman" w:hAnsi="Times New Roman" w:cs="Times New Roman"/>
          <w:sz w:val="28"/>
          <w:szCs w:val="28"/>
        </w:rPr>
      </w:pPr>
      <w:r w:rsidRPr="00AA42C4">
        <w:rPr>
          <w:rFonts w:ascii="Times New Roman" w:hAnsi="Times New Roman" w:cs="Times New Roman"/>
          <w:b/>
          <w:bCs/>
          <w:sz w:val="28"/>
          <w:szCs w:val="28"/>
        </w:rPr>
        <w:t xml:space="preserve">QuarterNorth Energy (QuarterNorth)—which was substituted for Fieldwood </w:t>
      </w:r>
      <w:r w:rsidRPr="00AA42C4">
        <w:rPr>
          <w:rFonts w:ascii="Times New Roman" w:hAnsi="Times New Roman" w:cs="Times New Roman"/>
          <w:sz w:val="28"/>
          <w:szCs w:val="28"/>
        </w:rPr>
        <w:t>Energy (Fieldwood) as the plaintiff in the underlying litigation—sought a declaration that Fieldwood's Chapter 11 reorganization</w:t>
      </w:r>
      <w:r>
        <w:rPr>
          <w:rFonts w:ascii="Times New Roman" w:hAnsi="Times New Roman" w:cs="Times New Roman"/>
          <w:sz w:val="28"/>
          <w:szCs w:val="28"/>
        </w:rPr>
        <w:t xml:space="preserve"> </w:t>
      </w:r>
      <w:r w:rsidRPr="00AA42C4">
        <w:rPr>
          <w:rFonts w:ascii="Times New Roman" w:hAnsi="Times New Roman" w:cs="Times New Roman"/>
          <w:sz w:val="28"/>
          <w:szCs w:val="28"/>
        </w:rPr>
        <w:t xml:space="preserve">plan extinguished statutory privileges held by Atlantic Maritime Services (Atlantic) over non-debtor property.1 The bankruptcy court entered judgment in favor of QuarterNorth, declaring that Atlantic's privileges “were extinguished by the ‘satisfaction’ and ‘settlement’ language in Fieldwood's Plan.” Atlantic appealed. </w:t>
      </w:r>
      <w:r>
        <w:rPr>
          <w:rFonts w:ascii="Times New Roman" w:hAnsi="Times New Roman" w:cs="Times New Roman"/>
          <w:sz w:val="28"/>
          <w:szCs w:val="28"/>
        </w:rPr>
        <w:t>The 5</w:t>
      </w:r>
      <w:r w:rsidRPr="00AA42C4">
        <w:rPr>
          <w:rFonts w:ascii="Times New Roman" w:hAnsi="Times New Roman" w:cs="Times New Roman"/>
          <w:sz w:val="28"/>
          <w:szCs w:val="28"/>
          <w:vertAlign w:val="superscript"/>
        </w:rPr>
        <w:t>th</w:t>
      </w:r>
      <w:r>
        <w:rPr>
          <w:rFonts w:ascii="Times New Roman" w:hAnsi="Times New Roman" w:cs="Times New Roman"/>
          <w:sz w:val="28"/>
          <w:szCs w:val="28"/>
        </w:rPr>
        <w:t xml:space="preserve"> Circuit Court of Appeals reversed the Bankruptcy Court’s judgment and remanded for further decision.  The Court examined the terms “satisfaction” and “settlement” and held that “</w:t>
      </w:r>
      <w:r w:rsidRPr="00AA42C4">
        <w:rPr>
          <w:rFonts w:ascii="Times New Roman" w:hAnsi="Times New Roman" w:cs="Times New Roman"/>
          <w:sz w:val="28"/>
          <w:szCs w:val="28"/>
        </w:rPr>
        <w:t xml:space="preserve">the terms </w:t>
      </w:r>
      <w:r>
        <w:rPr>
          <w:rFonts w:ascii="Times New Roman" w:hAnsi="Times New Roman" w:cs="Times New Roman"/>
          <w:sz w:val="28"/>
          <w:szCs w:val="28"/>
        </w:rPr>
        <w:t>‘</w:t>
      </w:r>
      <w:r w:rsidRPr="00AA42C4">
        <w:rPr>
          <w:rFonts w:ascii="Times New Roman" w:hAnsi="Times New Roman" w:cs="Times New Roman"/>
          <w:sz w:val="28"/>
          <w:szCs w:val="28"/>
        </w:rPr>
        <w:t>satisfaction</w:t>
      </w:r>
      <w:r>
        <w:rPr>
          <w:rFonts w:ascii="Times New Roman" w:hAnsi="Times New Roman" w:cs="Times New Roman"/>
          <w:sz w:val="28"/>
          <w:szCs w:val="28"/>
        </w:rPr>
        <w:t>’</w:t>
      </w:r>
      <w:r w:rsidRPr="00AA42C4">
        <w:rPr>
          <w:rFonts w:ascii="Times New Roman" w:hAnsi="Times New Roman" w:cs="Times New Roman"/>
          <w:sz w:val="28"/>
          <w:szCs w:val="28"/>
        </w:rPr>
        <w:t xml:space="preserve"> and </w:t>
      </w:r>
      <w:r>
        <w:rPr>
          <w:rFonts w:ascii="Times New Roman" w:hAnsi="Times New Roman" w:cs="Times New Roman"/>
          <w:sz w:val="28"/>
          <w:szCs w:val="28"/>
        </w:rPr>
        <w:t>‘</w:t>
      </w:r>
      <w:r w:rsidRPr="00AA42C4">
        <w:rPr>
          <w:rFonts w:ascii="Times New Roman" w:hAnsi="Times New Roman" w:cs="Times New Roman"/>
          <w:sz w:val="28"/>
          <w:szCs w:val="28"/>
        </w:rPr>
        <w:t>settlement</w:t>
      </w:r>
      <w:r>
        <w:rPr>
          <w:rFonts w:ascii="Times New Roman" w:hAnsi="Times New Roman" w:cs="Times New Roman"/>
          <w:sz w:val="28"/>
          <w:szCs w:val="28"/>
        </w:rPr>
        <w:t>’</w:t>
      </w:r>
      <w:r w:rsidRPr="00AA42C4">
        <w:rPr>
          <w:rFonts w:ascii="Times New Roman" w:hAnsi="Times New Roman" w:cs="Times New Roman"/>
          <w:sz w:val="28"/>
          <w:szCs w:val="28"/>
        </w:rPr>
        <w:t xml:space="preserve"> do nothing more than discharge the debtor's liability.</w:t>
      </w:r>
      <w:r>
        <w:rPr>
          <w:rFonts w:ascii="Times New Roman" w:hAnsi="Times New Roman" w:cs="Times New Roman"/>
          <w:sz w:val="28"/>
          <w:szCs w:val="28"/>
        </w:rPr>
        <w:t>”  The Circuit Court said further that “t</w:t>
      </w:r>
      <w:r w:rsidRPr="00AA42C4">
        <w:rPr>
          <w:rFonts w:ascii="Times New Roman" w:hAnsi="Times New Roman" w:cs="Times New Roman"/>
          <w:sz w:val="28"/>
          <w:szCs w:val="28"/>
        </w:rPr>
        <w:t xml:space="preserve">he </w:t>
      </w:r>
      <w:r w:rsidRPr="00AA42C4">
        <w:rPr>
          <w:rFonts w:ascii="Times New Roman" w:hAnsi="Times New Roman" w:cs="Times New Roman"/>
          <w:sz w:val="28"/>
          <w:szCs w:val="28"/>
        </w:rPr>
        <w:lastRenderedPageBreak/>
        <w:t>bankruptcy court was correct in its initial ruling when it concluded that the terms “satisfaction and settlement” were “colloquial terms dealing with a discharge.”</w:t>
      </w:r>
    </w:p>
    <w:p w14:paraId="5C0E581F" w14:textId="6095ADA9" w:rsidR="00AA42C4" w:rsidRDefault="00252271" w:rsidP="00B4771A">
      <w:pPr>
        <w:rPr>
          <w:rFonts w:ascii="Times New Roman" w:hAnsi="Times New Roman" w:cs="Times New Roman"/>
          <w:sz w:val="28"/>
          <w:szCs w:val="28"/>
        </w:rPr>
      </w:pPr>
      <w:r>
        <w:rPr>
          <w:rFonts w:ascii="Times New Roman" w:hAnsi="Times New Roman" w:cs="Times New Roman"/>
          <w:sz w:val="28"/>
          <w:szCs w:val="28"/>
        </w:rPr>
        <w:t>Finally, the Circuit Court stated that the “</w:t>
      </w:r>
      <w:r w:rsidRPr="00252271">
        <w:rPr>
          <w:rFonts w:ascii="Times New Roman" w:hAnsi="Times New Roman" w:cs="Times New Roman"/>
          <w:sz w:val="28"/>
          <w:szCs w:val="28"/>
        </w:rPr>
        <w:t>reorganization plan clearly does not render Fieldwood's obligation to Atlantic extinct; it merely discharges Fieldwood's liability for the debt.</w:t>
      </w:r>
      <w:r>
        <w:rPr>
          <w:rFonts w:ascii="Times New Roman" w:hAnsi="Times New Roman" w:cs="Times New Roman"/>
          <w:sz w:val="28"/>
          <w:szCs w:val="28"/>
        </w:rPr>
        <w:t>”</w:t>
      </w:r>
    </w:p>
    <w:p w14:paraId="11A3198C" w14:textId="77777777" w:rsidR="00AA42C4" w:rsidRDefault="00AA42C4" w:rsidP="00B4771A">
      <w:pPr>
        <w:rPr>
          <w:rFonts w:ascii="Times New Roman" w:hAnsi="Times New Roman" w:cs="Times New Roman"/>
          <w:sz w:val="28"/>
          <w:szCs w:val="28"/>
        </w:rPr>
      </w:pPr>
    </w:p>
    <w:p w14:paraId="1A75B095" w14:textId="66AC125E" w:rsidR="00B4771A" w:rsidRPr="00252271" w:rsidRDefault="00B4771A" w:rsidP="00096D20">
      <w:pPr>
        <w:rPr>
          <w:rFonts w:ascii="Times New Roman" w:hAnsi="Times New Roman" w:cs="Times New Roman"/>
          <w:b/>
          <w:bCs/>
          <w:u w:val="single"/>
        </w:rPr>
      </w:pPr>
    </w:p>
    <w:sectPr w:rsidR="00B4771A" w:rsidRPr="0025227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DEAE3" w14:textId="77777777" w:rsidR="00A937CE" w:rsidRDefault="00A937CE" w:rsidP="0050447F">
      <w:r>
        <w:separator/>
      </w:r>
    </w:p>
  </w:endnote>
  <w:endnote w:type="continuationSeparator" w:id="0">
    <w:p w14:paraId="79419B8A" w14:textId="77777777" w:rsidR="00A937CE" w:rsidRDefault="00A937CE" w:rsidP="0050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640061"/>
      <w:docPartObj>
        <w:docPartGallery w:val="Page Numbers (Bottom of Page)"/>
        <w:docPartUnique/>
      </w:docPartObj>
    </w:sdtPr>
    <w:sdtEndPr>
      <w:rPr>
        <w:noProof/>
      </w:rPr>
    </w:sdtEndPr>
    <w:sdtContent>
      <w:p w14:paraId="629971B5" w14:textId="432B3085" w:rsidR="0050447F" w:rsidRDefault="005044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5E6E64" w14:textId="77777777" w:rsidR="0050447F" w:rsidRDefault="00504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20008" w14:textId="77777777" w:rsidR="00A937CE" w:rsidRDefault="00A937CE" w:rsidP="0050447F">
      <w:r>
        <w:separator/>
      </w:r>
    </w:p>
  </w:footnote>
  <w:footnote w:type="continuationSeparator" w:id="0">
    <w:p w14:paraId="2FBE7B1A" w14:textId="77777777" w:rsidR="00A937CE" w:rsidRDefault="00A937CE" w:rsidP="00504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0EB"/>
    <w:multiLevelType w:val="multilevel"/>
    <w:tmpl w:val="9A14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F730A"/>
    <w:multiLevelType w:val="hybridMultilevel"/>
    <w:tmpl w:val="5AFC0734"/>
    <w:lvl w:ilvl="0" w:tplc="6FA0F1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05ACE"/>
    <w:multiLevelType w:val="hybridMultilevel"/>
    <w:tmpl w:val="97F87D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DB169F6"/>
    <w:multiLevelType w:val="hybridMultilevel"/>
    <w:tmpl w:val="60A2BF1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840CD5"/>
    <w:multiLevelType w:val="hybridMultilevel"/>
    <w:tmpl w:val="E79869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ED1B84"/>
    <w:multiLevelType w:val="hybridMultilevel"/>
    <w:tmpl w:val="860CEC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535A8"/>
    <w:multiLevelType w:val="hybridMultilevel"/>
    <w:tmpl w:val="3DF68A2A"/>
    <w:lvl w:ilvl="0" w:tplc="31ACF4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80456"/>
    <w:multiLevelType w:val="multilevel"/>
    <w:tmpl w:val="0A6C3F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F704AA"/>
    <w:multiLevelType w:val="hybridMultilevel"/>
    <w:tmpl w:val="01AEC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045601"/>
    <w:multiLevelType w:val="hybridMultilevel"/>
    <w:tmpl w:val="03D44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16F2A"/>
    <w:multiLevelType w:val="hybridMultilevel"/>
    <w:tmpl w:val="85CE9B28"/>
    <w:lvl w:ilvl="0" w:tplc="F1F6FA8C">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B0DD9"/>
    <w:multiLevelType w:val="multilevel"/>
    <w:tmpl w:val="E558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51BD8"/>
    <w:multiLevelType w:val="hybridMultilevel"/>
    <w:tmpl w:val="88C0C2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E5196"/>
    <w:multiLevelType w:val="hybridMultilevel"/>
    <w:tmpl w:val="C6DC9654"/>
    <w:lvl w:ilvl="0" w:tplc="5F1C51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418EC"/>
    <w:multiLevelType w:val="hybridMultilevel"/>
    <w:tmpl w:val="5150F7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62568BA"/>
    <w:multiLevelType w:val="hybridMultilevel"/>
    <w:tmpl w:val="A81809C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042CA"/>
    <w:multiLevelType w:val="multilevel"/>
    <w:tmpl w:val="0040EA3A"/>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943EE"/>
    <w:multiLevelType w:val="hybridMultilevel"/>
    <w:tmpl w:val="AC6AC982"/>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194A15"/>
    <w:multiLevelType w:val="hybridMultilevel"/>
    <w:tmpl w:val="C0D0799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DF5249"/>
    <w:multiLevelType w:val="hybridMultilevel"/>
    <w:tmpl w:val="9FEA6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7A2253"/>
    <w:multiLevelType w:val="hybridMultilevel"/>
    <w:tmpl w:val="EEB09BEC"/>
    <w:lvl w:ilvl="0" w:tplc="BD74A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C49FD"/>
    <w:multiLevelType w:val="hybridMultilevel"/>
    <w:tmpl w:val="70EC83B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D779DB"/>
    <w:multiLevelType w:val="hybridMultilevel"/>
    <w:tmpl w:val="16F8B0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9B3862"/>
    <w:multiLevelType w:val="hybridMultilevel"/>
    <w:tmpl w:val="60A2BF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381FE0"/>
    <w:multiLevelType w:val="multilevel"/>
    <w:tmpl w:val="07E41F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8D41F6"/>
    <w:multiLevelType w:val="hybridMultilevel"/>
    <w:tmpl w:val="8FDED7B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6F414A3"/>
    <w:multiLevelType w:val="multilevel"/>
    <w:tmpl w:val="D016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8C5939"/>
    <w:multiLevelType w:val="hybridMultilevel"/>
    <w:tmpl w:val="933CD03E"/>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1F4918"/>
    <w:multiLevelType w:val="multilevel"/>
    <w:tmpl w:val="CADE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2609CF"/>
    <w:multiLevelType w:val="hybridMultilevel"/>
    <w:tmpl w:val="1102E2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554D3A"/>
    <w:multiLevelType w:val="hybridMultilevel"/>
    <w:tmpl w:val="D0BC5A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487BAE"/>
    <w:multiLevelType w:val="hybridMultilevel"/>
    <w:tmpl w:val="5B2AC1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111F7"/>
    <w:multiLevelType w:val="hybridMultilevel"/>
    <w:tmpl w:val="07802000"/>
    <w:lvl w:ilvl="0" w:tplc="0409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423409"/>
    <w:multiLevelType w:val="multilevel"/>
    <w:tmpl w:val="C6DC9654"/>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DF5874"/>
    <w:multiLevelType w:val="hybridMultilevel"/>
    <w:tmpl w:val="AB30DC96"/>
    <w:lvl w:ilvl="0" w:tplc="2CFC307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3A71CD1"/>
    <w:multiLevelType w:val="hybridMultilevel"/>
    <w:tmpl w:val="A65EDD40"/>
    <w:lvl w:ilvl="0" w:tplc="5F1C51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02696C"/>
    <w:multiLevelType w:val="hybridMultilevel"/>
    <w:tmpl w:val="A65EDD4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44393C"/>
    <w:multiLevelType w:val="hybridMultilevel"/>
    <w:tmpl w:val="E24649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E9A1B1A"/>
    <w:multiLevelType w:val="hybridMultilevel"/>
    <w:tmpl w:val="81BC8E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FBB0204"/>
    <w:multiLevelType w:val="hybridMultilevel"/>
    <w:tmpl w:val="81D0AF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8926797">
    <w:abstractNumId w:val="31"/>
  </w:num>
  <w:num w:numId="2" w16cid:durableId="1738549214">
    <w:abstractNumId w:val="15"/>
  </w:num>
  <w:num w:numId="3" w16cid:durableId="656375240">
    <w:abstractNumId w:val="17"/>
  </w:num>
  <w:num w:numId="4" w16cid:durableId="1533569521">
    <w:abstractNumId w:val="5"/>
  </w:num>
  <w:num w:numId="5" w16cid:durableId="1799642444">
    <w:abstractNumId w:val="32"/>
  </w:num>
  <w:num w:numId="6" w16cid:durableId="1926063669">
    <w:abstractNumId w:val="23"/>
  </w:num>
  <w:num w:numId="7" w16cid:durableId="1705788735">
    <w:abstractNumId w:val="21"/>
  </w:num>
  <w:num w:numId="8" w16cid:durableId="257295045">
    <w:abstractNumId w:val="39"/>
  </w:num>
  <w:num w:numId="9" w16cid:durableId="729230592">
    <w:abstractNumId w:val="27"/>
  </w:num>
  <w:num w:numId="10" w16cid:durableId="1304700577">
    <w:abstractNumId w:val="18"/>
  </w:num>
  <w:num w:numId="11" w16cid:durableId="336346924">
    <w:abstractNumId w:val="14"/>
  </w:num>
  <w:num w:numId="12" w16cid:durableId="1603954124">
    <w:abstractNumId w:val="25"/>
  </w:num>
  <w:num w:numId="13" w16cid:durableId="592015736">
    <w:abstractNumId w:val="29"/>
  </w:num>
  <w:num w:numId="14" w16cid:durableId="853883645">
    <w:abstractNumId w:val="22"/>
  </w:num>
  <w:num w:numId="15" w16cid:durableId="1706100168">
    <w:abstractNumId w:val="38"/>
  </w:num>
  <w:num w:numId="16" w16cid:durableId="1129594386">
    <w:abstractNumId w:val="2"/>
  </w:num>
  <w:num w:numId="17" w16cid:durableId="1739326251">
    <w:abstractNumId w:val="1"/>
  </w:num>
  <w:num w:numId="18" w16cid:durableId="1386759709">
    <w:abstractNumId w:val="8"/>
  </w:num>
  <w:num w:numId="19" w16cid:durableId="1043360294">
    <w:abstractNumId w:val="37"/>
  </w:num>
  <w:num w:numId="20" w16cid:durableId="896824107">
    <w:abstractNumId w:val="4"/>
  </w:num>
  <w:num w:numId="21" w16cid:durableId="2112621393">
    <w:abstractNumId w:val="30"/>
  </w:num>
  <w:num w:numId="22" w16cid:durableId="1480538421">
    <w:abstractNumId w:val="3"/>
  </w:num>
  <w:num w:numId="23" w16cid:durableId="1852064476">
    <w:abstractNumId w:val="35"/>
  </w:num>
  <w:num w:numId="24" w16cid:durableId="755245113">
    <w:abstractNumId w:val="28"/>
  </w:num>
  <w:num w:numId="25" w16cid:durableId="747732160">
    <w:abstractNumId w:val="26"/>
  </w:num>
  <w:num w:numId="26" w16cid:durableId="1906141918">
    <w:abstractNumId w:val="16"/>
  </w:num>
  <w:num w:numId="27" w16cid:durableId="336226664">
    <w:abstractNumId w:val="10"/>
  </w:num>
  <w:num w:numId="28" w16cid:durableId="797530905">
    <w:abstractNumId w:val="36"/>
  </w:num>
  <w:num w:numId="29" w16cid:durableId="1418362388">
    <w:abstractNumId w:val="34"/>
  </w:num>
  <w:num w:numId="30" w16cid:durableId="829373225">
    <w:abstractNumId w:val="12"/>
  </w:num>
  <w:num w:numId="31" w16cid:durableId="718672731">
    <w:abstractNumId w:val="19"/>
  </w:num>
  <w:num w:numId="32" w16cid:durableId="878853890">
    <w:abstractNumId w:val="11"/>
  </w:num>
  <w:num w:numId="33" w16cid:durableId="1745101635">
    <w:abstractNumId w:val="9"/>
  </w:num>
  <w:num w:numId="34" w16cid:durableId="1990398306">
    <w:abstractNumId w:val="0"/>
  </w:num>
  <w:num w:numId="35" w16cid:durableId="1715810111">
    <w:abstractNumId w:val="7"/>
  </w:num>
  <w:num w:numId="36" w16cid:durableId="416367899">
    <w:abstractNumId w:val="24"/>
  </w:num>
  <w:num w:numId="37" w16cid:durableId="1088968285">
    <w:abstractNumId w:val="13"/>
  </w:num>
  <w:num w:numId="38" w16cid:durableId="1861577584">
    <w:abstractNumId w:val="33"/>
  </w:num>
  <w:num w:numId="39" w16cid:durableId="978267447">
    <w:abstractNumId w:val="20"/>
  </w:num>
  <w:num w:numId="40" w16cid:durableId="856966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C9"/>
    <w:rsid w:val="00026A9A"/>
    <w:rsid w:val="00043D16"/>
    <w:rsid w:val="000500CF"/>
    <w:rsid w:val="00053FDD"/>
    <w:rsid w:val="00090004"/>
    <w:rsid w:val="00094369"/>
    <w:rsid w:val="00096D20"/>
    <w:rsid w:val="000B678C"/>
    <w:rsid w:val="000F7673"/>
    <w:rsid w:val="0012268D"/>
    <w:rsid w:val="00133915"/>
    <w:rsid w:val="00155819"/>
    <w:rsid w:val="0015761B"/>
    <w:rsid w:val="00170883"/>
    <w:rsid w:val="001745A8"/>
    <w:rsid w:val="00197177"/>
    <w:rsid w:val="001A655F"/>
    <w:rsid w:val="001C56E8"/>
    <w:rsid w:val="001F6685"/>
    <w:rsid w:val="00215D00"/>
    <w:rsid w:val="00252271"/>
    <w:rsid w:val="00272061"/>
    <w:rsid w:val="002C346D"/>
    <w:rsid w:val="002C3EEB"/>
    <w:rsid w:val="002D2764"/>
    <w:rsid w:val="002D5901"/>
    <w:rsid w:val="002F257F"/>
    <w:rsid w:val="003345A1"/>
    <w:rsid w:val="00342812"/>
    <w:rsid w:val="0034746B"/>
    <w:rsid w:val="00363E62"/>
    <w:rsid w:val="00374D88"/>
    <w:rsid w:val="00377CDF"/>
    <w:rsid w:val="003A00F8"/>
    <w:rsid w:val="003B666B"/>
    <w:rsid w:val="003C4CB5"/>
    <w:rsid w:val="003D5592"/>
    <w:rsid w:val="003E4CB5"/>
    <w:rsid w:val="00400095"/>
    <w:rsid w:val="00407D0A"/>
    <w:rsid w:val="004249B1"/>
    <w:rsid w:val="004343F9"/>
    <w:rsid w:val="00451510"/>
    <w:rsid w:val="00455412"/>
    <w:rsid w:val="0045541D"/>
    <w:rsid w:val="00492E84"/>
    <w:rsid w:val="004950FB"/>
    <w:rsid w:val="004B08D0"/>
    <w:rsid w:val="004C5A24"/>
    <w:rsid w:val="004D0BA5"/>
    <w:rsid w:val="004F5EF2"/>
    <w:rsid w:val="0050447F"/>
    <w:rsid w:val="0051388E"/>
    <w:rsid w:val="00523550"/>
    <w:rsid w:val="00564F82"/>
    <w:rsid w:val="00585D80"/>
    <w:rsid w:val="00591C34"/>
    <w:rsid w:val="005E58C3"/>
    <w:rsid w:val="005E5EE4"/>
    <w:rsid w:val="005F22D6"/>
    <w:rsid w:val="00617D4A"/>
    <w:rsid w:val="0063729C"/>
    <w:rsid w:val="00657CF2"/>
    <w:rsid w:val="00673E30"/>
    <w:rsid w:val="0068046B"/>
    <w:rsid w:val="006C2BB7"/>
    <w:rsid w:val="006C43F2"/>
    <w:rsid w:val="00720629"/>
    <w:rsid w:val="007246CE"/>
    <w:rsid w:val="00785179"/>
    <w:rsid w:val="007A7965"/>
    <w:rsid w:val="007B2F93"/>
    <w:rsid w:val="007B7112"/>
    <w:rsid w:val="007B7F88"/>
    <w:rsid w:val="007D71BD"/>
    <w:rsid w:val="00802AC1"/>
    <w:rsid w:val="00806E26"/>
    <w:rsid w:val="00812A07"/>
    <w:rsid w:val="00834DEA"/>
    <w:rsid w:val="00864DBC"/>
    <w:rsid w:val="0086555E"/>
    <w:rsid w:val="00865C61"/>
    <w:rsid w:val="00893E5C"/>
    <w:rsid w:val="008F22FF"/>
    <w:rsid w:val="009512B7"/>
    <w:rsid w:val="009527C4"/>
    <w:rsid w:val="0099192D"/>
    <w:rsid w:val="00A071EA"/>
    <w:rsid w:val="00A324EC"/>
    <w:rsid w:val="00A929D7"/>
    <w:rsid w:val="00A937CE"/>
    <w:rsid w:val="00AA42C4"/>
    <w:rsid w:val="00AA750E"/>
    <w:rsid w:val="00AC18A5"/>
    <w:rsid w:val="00AF70BE"/>
    <w:rsid w:val="00B23E52"/>
    <w:rsid w:val="00B32AC9"/>
    <w:rsid w:val="00B4771A"/>
    <w:rsid w:val="00B670A1"/>
    <w:rsid w:val="00B72959"/>
    <w:rsid w:val="00B72A70"/>
    <w:rsid w:val="00B764D0"/>
    <w:rsid w:val="00BE2D7A"/>
    <w:rsid w:val="00C02407"/>
    <w:rsid w:val="00C74DBC"/>
    <w:rsid w:val="00CA0B97"/>
    <w:rsid w:val="00CB2E05"/>
    <w:rsid w:val="00CC2579"/>
    <w:rsid w:val="00CC6D83"/>
    <w:rsid w:val="00D11B97"/>
    <w:rsid w:val="00D129F1"/>
    <w:rsid w:val="00D20C78"/>
    <w:rsid w:val="00D404DC"/>
    <w:rsid w:val="00D434C5"/>
    <w:rsid w:val="00D67C79"/>
    <w:rsid w:val="00D8118D"/>
    <w:rsid w:val="00DB334F"/>
    <w:rsid w:val="00DC6B1C"/>
    <w:rsid w:val="00DF00CC"/>
    <w:rsid w:val="00E06C74"/>
    <w:rsid w:val="00E15244"/>
    <w:rsid w:val="00E17946"/>
    <w:rsid w:val="00E2558B"/>
    <w:rsid w:val="00E27EB7"/>
    <w:rsid w:val="00E37CEF"/>
    <w:rsid w:val="00E42854"/>
    <w:rsid w:val="00E831B0"/>
    <w:rsid w:val="00EA5AC1"/>
    <w:rsid w:val="00EA6DFC"/>
    <w:rsid w:val="00EB3101"/>
    <w:rsid w:val="00EE5F9E"/>
    <w:rsid w:val="00F00A3A"/>
    <w:rsid w:val="00F20054"/>
    <w:rsid w:val="00F45F44"/>
    <w:rsid w:val="00FE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7C70"/>
  <w15:chartTrackingRefBased/>
  <w15:docId w15:val="{ED441F47-1030-B946-85B6-874941E9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AC9"/>
    <w:pPr>
      <w:ind w:left="720"/>
      <w:contextualSpacing/>
    </w:pPr>
  </w:style>
  <w:style w:type="paragraph" w:customStyle="1" w:styleId="trt0xe">
    <w:name w:val="trt0xe"/>
    <w:basedOn w:val="Normal"/>
    <w:rsid w:val="00F45F44"/>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F2005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34DEA"/>
    <w:rPr>
      <w:color w:val="0563C1" w:themeColor="hyperlink"/>
      <w:u w:val="single"/>
    </w:rPr>
  </w:style>
  <w:style w:type="character" w:styleId="UnresolvedMention">
    <w:name w:val="Unresolved Mention"/>
    <w:basedOn w:val="DefaultParagraphFont"/>
    <w:uiPriority w:val="99"/>
    <w:semiHidden/>
    <w:unhideWhenUsed/>
    <w:rsid w:val="00834DEA"/>
    <w:rPr>
      <w:color w:val="605E5C"/>
      <w:shd w:val="clear" w:color="auto" w:fill="E1DFDD"/>
    </w:rPr>
  </w:style>
  <w:style w:type="numbering" w:customStyle="1" w:styleId="CurrentList1">
    <w:name w:val="Current List1"/>
    <w:uiPriority w:val="99"/>
    <w:rsid w:val="00812A07"/>
    <w:pPr>
      <w:numPr>
        <w:numId w:val="38"/>
      </w:numPr>
    </w:pPr>
  </w:style>
  <w:style w:type="paragraph" w:styleId="Revision">
    <w:name w:val="Revision"/>
    <w:hidden/>
    <w:uiPriority w:val="99"/>
    <w:semiHidden/>
    <w:rsid w:val="009512B7"/>
  </w:style>
  <w:style w:type="character" w:styleId="CommentReference">
    <w:name w:val="annotation reference"/>
    <w:basedOn w:val="DefaultParagraphFont"/>
    <w:uiPriority w:val="99"/>
    <w:semiHidden/>
    <w:unhideWhenUsed/>
    <w:rsid w:val="00043D16"/>
    <w:rPr>
      <w:sz w:val="16"/>
      <w:szCs w:val="16"/>
    </w:rPr>
  </w:style>
  <w:style w:type="paragraph" w:styleId="CommentText">
    <w:name w:val="annotation text"/>
    <w:basedOn w:val="Normal"/>
    <w:link w:val="CommentTextChar"/>
    <w:uiPriority w:val="99"/>
    <w:unhideWhenUsed/>
    <w:rsid w:val="00043D16"/>
    <w:rPr>
      <w:sz w:val="20"/>
      <w:szCs w:val="20"/>
    </w:rPr>
  </w:style>
  <w:style w:type="character" w:customStyle="1" w:styleId="CommentTextChar">
    <w:name w:val="Comment Text Char"/>
    <w:basedOn w:val="DefaultParagraphFont"/>
    <w:link w:val="CommentText"/>
    <w:uiPriority w:val="99"/>
    <w:rsid w:val="00043D16"/>
    <w:rPr>
      <w:sz w:val="20"/>
      <w:szCs w:val="20"/>
    </w:rPr>
  </w:style>
  <w:style w:type="paragraph" w:styleId="CommentSubject">
    <w:name w:val="annotation subject"/>
    <w:basedOn w:val="CommentText"/>
    <w:next w:val="CommentText"/>
    <w:link w:val="CommentSubjectChar"/>
    <w:uiPriority w:val="99"/>
    <w:semiHidden/>
    <w:unhideWhenUsed/>
    <w:rsid w:val="00043D16"/>
    <w:rPr>
      <w:b/>
      <w:bCs/>
    </w:rPr>
  </w:style>
  <w:style w:type="character" w:customStyle="1" w:styleId="CommentSubjectChar">
    <w:name w:val="Comment Subject Char"/>
    <w:basedOn w:val="CommentTextChar"/>
    <w:link w:val="CommentSubject"/>
    <w:uiPriority w:val="99"/>
    <w:semiHidden/>
    <w:rsid w:val="00043D16"/>
    <w:rPr>
      <w:b/>
      <w:bCs/>
      <w:sz w:val="20"/>
      <w:szCs w:val="20"/>
    </w:rPr>
  </w:style>
  <w:style w:type="paragraph" w:styleId="Header">
    <w:name w:val="header"/>
    <w:basedOn w:val="Normal"/>
    <w:link w:val="HeaderChar"/>
    <w:uiPriority w:val="99"/>
    <w:unhideWhenUsed/>
    <w:rsid w:val="0050447F"/>
    <w:pPr>
      <w:tabs>
        <w:tab w:val="center" w:pos="4680"/>
        <w:tab w:val="right" w:pos="9360"/>
      </w:tabs>
    </w:pPr>
  </w:style>
  <w:style w:type="character" w:customStyle="1" w:styleId="HeaderChar">
    <w:name w:val="Header Char"/>
    <w:basedOn w:val="DefaultParagraphFont"/>
    <w:link w:val="Header"/>
    <w:uiPriority w:val="99"/>
    <w:rsid w:val="0050447F"/>
  </w:style>
  <w:style w:type="paragraph" w:styleId="Footer">
    <w:name w:val="footer"/>
    <w:basedOn w:val="Normal"/>
    <w:link w:val="FooterChar"/>
    <w:uiPriority w:val="99"/>
    <w:unhideWhenUsed/>
    <w:rsid w:val="0050447F"/>
    <w:pPr>
      <w:tabs>
        <w:tab w:val="center" w:pos="4680"/>
        <w:tab w:val="right" w:pos="9360"/>
      </w:tabs>
    </w:pPr>
  </w:style>
  <w:style w:type="character" w:customStyle="1" w:styleId="FooterChar">
    <w:name w:val="Footer Char"/>
    <w:basedOn w:val="DefaultParagraphFont"/>
    <w:link w:val="Footer"/>
    <w:uiPriority w:val="99"/>
    <w:rsid w:val="0050447F"/>
  </w:style>
  <w:style w:type="paragraph" w:styleId="BodyText">
    <w:name w:val="Body Text"/>
    <w:basedOn w:val="Normal"/>
    <w:link w:val="BodyTextChar"/>
    <w:uiPriority w:val="99"/>
    <w:unhideWhenUsed/>
    <w:rsid w:val="00DB334F"/>
    <w:pPr>
      <w:spacing w:after="240"/>
      <w:jc w:val="both"/>
    </w:pPr>
    <w:rPr>
      <w:rFonts w:ascii="Arial" w:hAnsi="Arial"/>
      <w:szCs w:val="20"/>
    </w:rPr>
  </w:style>
  <w:style w:type="character" w:customStyle="1" w:styleId="BodyTextChar">
    <w:name w:val="Body Text Char"/>
    <w:basedOn w:val="DefaultParagraphFont"/>
    <w:link w:val="BodyText"/>
    <w:uiPriority w:val="99"/>
    <w:rsid w:val="00DB334F"/>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05">
      <w:bodyDiv w:val="1"/>
      <w:marLeft w:val="0"/>
      <w:marRight w:val="0"/>
      <w:marTop w:val="0"/>
      <w:marBottom w:val="0"/>
      <w:divBdr>
        <w:top w:val="none" w:sz="0" w:space="0" w:color="auto"/>
        <w:left w:val="none" w:sz="0" w:space="0" w:color="auto"/>
        <w:bottom w:val="none" w:sz="0" w:space="0" w:color="auto"/>
        <w:right w:val="none" w:sz="0" w:space="0" w:color="auto"/>
      </w:divBdr>
      <w:divsChild>
        <w:div w:id="2116825399">
          <w:marLeft w:val="0"/>
          <w:marRight w:val="0"/>
          <w:marTop w:val="0"/>
          <w:marBottom w:val="0"/>
          <w:divBdr>
            <w:top w:val="none" w:sz="0" w:space="0" w:color="auto"/>
            <w:left w:val="none" w:sz="0" w:space="0" w:color="auto"/>
            <w:bottom w:val="none" w:sz="0" w:space="0" w:color="auto"/>
            <w:right w:val="none" w:sz="0" w:space="0" w:color="auto"/>
          </w:divBdr>
        </w:div>
        <w:div w:id="721368386">
          <w:marLeft w:val="0"/>
          <w:marRight w:val="0"/>
          <w:marTop w:val="0"/>
          <w:marBottom w:val="0"/>
          <w:divBdr>
            <w:top w:val="none" w:sz="0" w:space="0" w:color="auto"/>
            <w:left w:val="none" w:sz="0" w:space="0" w:color="auto"/>
            <w:bottom w:val="none" w:sz="0" w:space="0" w:color="auto"/>
            <w:right w:val="none" w:sz="0" w:space="0" w:color="auto"/>
          </w:divBdr>
        </w:div>
        <w:div w:id="824783232">
          <w:marLeft w:val="0"/>
          <w:marRight w:val="0"/>
          <w:marTop w:val="0"/>
          <w:marBottom w:val="0"/>
          <w:divBdr>
            <w:top w:val="none" w:sz="0" w:space="0" w:color="auto"/>
            <w:left w:val="none" w:sz="0" w:space="0" w:color="auto"/>
            <w:bottom w:val="none" w:sz="0" w:space="0" w:color="auto"/>
            <w:right w:val="none" w:sz="0" w:space="0" w:color="auto"/>
          </w:divBdr>
        </w:div>
        <w:div w:id="446782257">
          <w:marLeft w:val="0"/>
          <w:marRight w:val="0"/>
          <w:marTop w:val="0"/>
          <w:marBottom w:val="0"/>
          <w:divBdr>
            <w:top w:val="none" w:sz="0" w:space="0" w:color="auto"/>
            <w:left w:val="none" w:sz="0" w:space="0" w:color="auto"/>
            <w:bottom w:val="none" w:sz="0" w:space="0" w:color="auto"/>
            <w:right w:val="none" w:sz="0" w:space="0" w:color="auto"/>
          </w:divBdr>
        </w:div>
        <w:div w:id="269049079">
          <w:marLeft w:val="0"/>
          <w:marRight w:val="0"/>
          <w:marTop w:val="0"/>
          <w:marBottom w:val="0"/>
          <w:divBdr>
            <w:top w:val="none" w:sz="0" w:space="0" w:color="auto"/>
            <w:left w:val="none" w:sz="0" w:space="0" w:color="auto"/>
            <w:bottom w:val="none" w:sz="0" w:space="0" w:color="auto"/>
            <w:right w:val="none" w:sz="0" w:space="0" w:color="auto"/>
          </w:divBdr>
        </w:div>
        <w:div w:id="126243066">
          <w:marLeft w:val="0"/>
          <w:marRight w:val="0"/>
          <w:marTop w:val="0"/>
          <w:marBottom w:val="0"/>
          <w:divBdr>
            <w:top w:val="none" w:sz="0" w:space="0" w:color="auto"/>
            <w:left w:val="none" w:sz="0" w:space="0" w:color="auto"/>
            <w:bottom w:val="none" w:sz="0" w:space="0" w:color="auto"/>
            <w:right w:val="none" w:sz="0" w:space="0" w:color="auto"/>
          </w:divBdr>
        </w:div>
        <w:div w:id="788360937">
          <w:marLeft w:val="0"/>
          <w:marRight w:val="0"/>
          <w:marTop w:val="0"/>
          <w:marBottom w:val="0"/>
          <w:divBdr>
            <w:top w:val="none" w:sz="0" w:space="0" w:color="auto"/>
            <w:left w:val="none" w:sz="0" w:space="0" w:color="auto"/>
            <w:bottom w:val="none" w:sz="0" w:space="0" w:color="auto"/>
            <w:right w:val="none" w:sz="0" w:space="0" w:color="auto"/>
          </w:divBdr>
        </w:div>
        <w:div w:id="174463940">
          <w:marLeft w:val="0"/>
          <w:marRight w:val="0"/>
          <w:marTop w:val="0"/>
          <w:marBottom w:val="0"/>
          <w:divBdr>
            <w:top w:val="none" w:sz="0" w:space="0" w:color="auto"/>
            <w:left w:val="none" w:sz="0" w:space="0" w:color="auto"/>
            <w:bottom w:val="none" w:sz="0" w:space="0" w:color="auto"/>
            <w:right w:val="none" w:sz="0" w:space="0" w:color="auto"/>
          </w:divBdr>
        </w:div>
        <w:div w:id="1063136680">
          <w:marLeft w:val="0"/>
          <w:marRight w:val="0"/>
          <w:marTop w:val="0"/>
          <w:marBottom w:val="0"/>
          <w:divBdr>
            <w:top w:val="none" w:sz="0" w:space="0" w:color="auto"/>
            <w:left w:val="none" w:sz="0" w:space="0" w:color="auto"/>
            <w:bottom w:val="none" w:sz="0" w:space="0" w:color="auto"/>
            <w:right w:val="none" w:sz="0" w:space="0" w:color="auto"/>
          </w:divBdr>
        </w:div>
        <w:div w:id="449934681">
          <w:marLeft w:val="0"/>
          <w:marRight w:val="0"/>
          <w:marTop w:val="0"/>
          <w:marBottom w:val="0"/>
          <w:divBdr>
            <w:top w:val="none" w:sz="0" w:space="0" w:color="auto"/>
            <w:left w:val="none" w:sz="0" w:space="0" w:color="auto"/>
            <w:bottom w:val="none" w:sz="0" w:space="0" w:color="auto"/>
            <w:right w:val="none" w:sz="0" w:space="0" w:color="auto"/>
          </w:divBdr>
        </w:div>
        <w:div w:id="239945663">
          <w:marLeft w:val="0"/>
          <w:marRight w:val="0"/>
          <w:marTop w:val="0"/>
          <w:marBottom w:val="0"/>
          <w:divBdr>
            <w:top w:val="none" w:sz="0" w:space="0" w:color="auto"/>
            <w:left w:val="none" w:sz="0" w:space="0" w:color="auto"/>
            <w:bottom w:val="none" w:sz="0" w:space="0" w:color="auto"/>
            <w:right w:val="none" w:sz="0" w:space="0" w:color="auto"/>
          </w:divBdr>
        </w:div>
        <w:div w:id="2062971250">
          <w:marLeft w:val="0"/>
          <w:marRight w:val="0"/>
          <w:marTop w:val="0"/>
          <w:marBottom w:val="0"/>
          <w:divBdr>
            <w:top w:val="none" w:sz="0" w:space="0" w:color="auto"/>
            <w:left w:val="none" w:sz="0" w:space="0" w:color="auto"/>
            <w:bottom w:val="none" w:sz="0" w:space="0" w:color="auto"/>
            <w:right w:val="none" w:sz="0" w:space="0" w:color="auto"/>
          </w:divBdr>
        </w:div>
        <w:div w:id="1096443245">
          <w:marLeft w:val="0"/>
          <w:marRight w:val="0"/>
          <w:marTop w:val="0"/>
          <w:marBottom w:val="0"/>
          <w:divBdr>
            <w:top w:val="none" w:sz="0" w:space="0" w:color="auto"/>
            <w:left w:val="none" w:sz="0" w:space="0" w:color="auto"/>
            <w:bottom w:val="none" w:sz="0" w:space="0" w:color="auto"/>
            <w:right w:val="none" w:sz="0" w:space="0" w:color="auto"/>
          </w:divBdr>
        </w:div>
        <w:div w:id="440730723">
          <w:marLeft w:val="0"/>
          <w:marRight w:val="0"/>
          <w:marTop w:val="0"/>
          <w:marBottom w:val="0"/>
          <w:divBdr>
            <w:top w:val="none" w:sz="0" w:space="0" w:color="auto"/>
            <w:left w:val="none" w:sz="0" w:space="0" w:color="auto"/>
            <w:bottom w:val="none" w:sz="0" w:space="0" w:color="auto"/>
            <w:right w:val="none" w:sz="0" w:space="0" w:color="auto"/>
          </w:divBdr>
        </w:div>
        <w:div w:id="1335109418">
          <w:marLeft w:val="0"/>
          <w:marRight w:val="0"/>
          <w:marTop w:val="0"/>
          <w:marBottom w:val="0"/>
          <w:divBdr>
            <w:top w:val="none" w:sz="0" w:space="0" w:color="auto"/>
            <w:left w:val="none" w:sz="0" w:space="0" w:color="auto"/>
            <w:bottom w:val="none" w:sz="0" w:space="0" w:color="auto"/>
            <w:right w:val="none" w:sz="0" w:space="0" w:color="auto"/>
          </w:divBdr>
        </w:div>
      </w:divsChild>
    </w:div>
    <w:div w:id="176047213">
      <w:bodyDiv w:val="1"/>
      <w:marLeft w:val="0"/>
      <w:marRight w:val="0"/>
      <w:marTop w:val="0"/>
      <w:marBottom w:val="0"/>
      <w:divBdr>
        <w:top w:val="none" w:sz="0" w:space="0" w:color="auto"/>
        <w:left w:val="none" w:sz="0" w:space="0" w:color="auto"/>
        <w:bottom w:val="none" w:sz="0" w:space="0" w:color="auto"/>
        <w:right w:val="none" w:sz="0" w:space="0" w:color="auto"/>
      </w:divBdr>
    </w:div>
    <w:div w:id="194461965">
      <w:bodyDiv w:val="1"/>
      <w:marLeft w:val="0"/>
      <w:marRight w:val="0"/>
      <w:marTop w:val="0"/>
      <w:marBottom w:val="0"/>
      <w:divBdr>
        <w:top w:val="none" w:sz="0" w:space="0" w:color="auto"/>
        <w:left w:val="none" w:sz="0" w:space="0" w:color="auto"/>
        <w:bottom w:val="none" w:sz="0" w:space="0" w:color="auto"/>
        <w:right w:val="none" w:sz="0" w:space="0" w:color="auto"/>
      </w:divBdr>
      <w:divsChild>
        <w:div w:id="1818065358">
          <w:marLeft w:val="0"/>
          <w:marRight w:val="0"/>
          <w:marTop w:val="0"/>
          <w:marBottom w:val="0"/>
          <w:divBdr>
            <w:top w:val="none" w:sz="0" w:space="0" w:color="auto"/>
            <w:left w:val="none" w:sz="0" w:space="0" w:color="auto"/>
            <w:bottom w:val="none" w:sz="0" w:space="0" w:color="auto"/>
            <w:right w:val="none" w:sz="0" w:space="0" w:color="auto"/>
          </w:divBdr>
        </w:div>
      </w:divsChild>
    </w:div>
    <w:div w:id="215168008">
      <w:bodyDiv w:val="1"/>
      <w:marLeft w:val="0"/>
      <w:marRight w:val="0"/>
      <w:marTop w:val="0"/>
      <w:marBottom w:val="0"/>
      <w:divBdr>
        <w:top w:val="none" w:sz="0" w:space="0" w:color="auto"/>
        <w:left w:val="none" w:sz="0" w:space="0" w:color="auto"/>
        <w:bottom w:val="none" w:sz="0" w:space="0" w:color="auto"/>
        <w:right w:val="none" w:sz="0" w:space="0" w:color="auto"/>
      </w:divBdr>
    </w:div>
    <w:div w:id="239296588">
      <w:bodyDiv w:val="1"/>
      <w:marLeft w:val="0"/>
      <w:marRight w:val="0"/>
      <w:marTop w:val="0"/>
      <w:marBottom w:val="0"/>
      <w:divBdr>
        <w:top w:val="none" w:sz="0" w:space="0" w:color="auto"/>
        <w:left w:val="none" w:sz="0" w:space="0" w:color="auto"/>
        <w:bottom w:val="none" w:sz="0" w:space="0" w:color="auto"/>
        <w:right w:val="none" w:sz="0" w:space="0" w:color="auto"/>
      </w:divBdr>
      <w:divsChild>
        <w:div w:id="1685277385">
          <w:marLeft w:val="0"/>
          <w:marRight w:val="0"/>
          <w:marTop w:val="0"/>
          <w:marBottom w:val="0"/>
          <w:divBdr>
            <w:top w:val="none" w:sz="0" w:space="0" w:color="auto"/>
            <w:left w:val="none" w:sz="0" w:space="0" w:color="auto"/>
            <w:bottom w:val="none" w:sz="0" w:space="0" w:color="auto"/>
            <w:right w:val="none" w:sz="0" w:space="0" w:color="auto"/>
          </w:divBdr>
        </w:div>
        <w:div w:id="480193755">
          <w:marLeft w:val="0"/>
          <w:marRight w:val="0"/>
          <w:marTop w:val="0"/>
          <w:marBottom w:val="0"/>
          <w:divBdr>
            <w:top w:val="none" w:sz="0" w:space="0" w:color="auto"/>
            <w:left w:val="none" w:sz="0" w:space="0" w:color="auto"/>
            <w:bottom w:val="none" w:sz="0" w:space="0" w:color="auto"/>
            <w:right w:val="none" w:sz="0" w:space="0" w:color="auto"/>
          </w:divBdr>
        </w:div>
        <w:div w:id="1954944284">
          <w:marLeft w:val="0"/>
          <w:marRight w:val="0"/>
          <w:marTop w:val="0"/>
          <w:marBottom w:val="0"/>
          <w:divBdr>
            <w:top w:val="none" w:sz="0" w:space="0" w:color="auto"/>
            <w:left w:val="none" w:sz="0" w:space="0" w:color="auto"/>
            <w:bottom w:val="none" w:sz="0" w:space="0" w:color="auto"/>
            <w:right w:val="none" w:sz="0" w:space="0" w:color="auto"/>
          </w:divBdr>
        </w:div>
        <w:div w:id="1856071105">
          <w:marLeft w:val="0"/>
          <w:marRight w:val="0"/>
          <w:marTop w:val="0"/>
          <w:marBottom w:val="0"/>
          <w:divBdr>
            <w:top w:val="none" w:sz="0" w:space="0" w:color="auto"/>
            <w:left w:val="none" w:sz="0" w:space="0" w:color="auto"/>
            <w:bottom w:val="none" w:sz="0" w:space="0" w:color="auto"/>
            <w:right w:val="none" w:sz="0" w:space="0" w:color="auto"/>
          </w:divBdr>
        </w:div>
        <w:div w:id="948780576">
          <w:marLeft w:val="0"/>
          <w:marRight w:val="0"/>
          <w:marTop w:val="0"/>
          <w:marBottom w:val="0"/>
          <w:divBdr>
            <w:top w:val="none" w:sz="0" w:space="0" w:color="auto"/>
            <w:left w:val="none" w:sz="0" w:space="0" w:color="auto"/>
            <w:bottom w:val="none" w:sz="0" w:space="0" w:color="auto"/>
            <w:right w:val="none" w:sz="0" w:space="0" w:color="auto"/>
          </w:divBdr>
        </w:div>
        <w:div w:id="1730838083">
          <w:marLeft w:val="0"/>
          <w:marRight w:val="0"/>
          <w:marTop w:val="0"/>
          <w:marBottom w:val="0"/>
          <w:divBdr>
            <w:top w:val="none" w:sz="0" w:space="0" w:color="auto"/>
            <w:left w:val="none" w:sz="0" w:space="0" w:color="auto"/>
            <w:bottom w:val="none" w:sz="0" w:space="0" w:color="auto"/>
            <w:right w:val="none" w:sz="0" w:space="0" w:color="auto"/>
          </w:divBdr>
        </w:div>
        <w:div w:id="117384635">
          <w:marLeft w:val="0"/>
          <w:marRight w:val="0"/>
          <w:marTop w:val="0"/>
          <w:marBottom w:val="0"/>
          <w:divBdr>
            <w:top w:val="none" w:sz="0" w:space="0" w:color="auto"/>
            <w:left w:val="none" w:sz="0" w:space="0" w:color="auto"/>
            <w:bottom w:val="none" w:sz="0" w:space="0" w:color="auto"/>
            <w:right w:val="none" w:sz="0" w:space="0" w:color="auto"/>
          </w:divBdr>
        </w:div>
        <w:div w:id="168297274">
          <w:marLeft w:val="0"/>
          <w:marRight w:val="0"/>
          <w:marTop w:val="0"/>
          <w:marBottom w:val="0"/>
          <w:divBdr>
            <w:top w:val="none" w:sz="0" w:space="0" w:color="auto"/>
            <w:left w:val="none" w:sz="0" w:space="0" w:color="auto"/>
            <w:bottom w:val="none" w:sz="0" w:space="0" w:color="auto"/>
            <w:right w:val="none" w:sz="0" w:space="0" w:color="auto"/>
          </w:divBdr>
        </w:div>
        <w:div w:id="1339500673">
          <w:marLeft w:val="0"/>
          <w:marRight w:val="0"/>
          <w:marTop w:val="0"/>
          <w:marBottom w:val="0"/>
          <w:divBdr>
            <w:top w:val="none" w:sz="0" w:space="0" w:color="auto"/>
            <w:left w:val="none" w:sz="0" w:space="0" w:color="auto"/>
            <w:bottom w:val="none" w:sz="0" w:space="0" w:color="auto"/>
            <w:right w:val="none" w:sz="0" w:space="0" w:color="auto"/>
          </w:divBdr>
        </w:div>
        <w:div w:id="1983077137">
          <w:marLeft w:val="0"/>
          <w:marRight w:val="0"/>
          <w:marTop w:val="0"/>
          <w:marBottom w:val="0"/>
          <w:divBdr>
            <w:top w:val="none" w:sz="0" w:space="0" w:color="auto"/>
            <w:left w:val="none" w:sz="0" w:space="0" w:color="auto"/>
            <w:bottom w:val="none" w:sz="0" w:space="0" w:color="auto"/>
            <w:right w:val="none" w:sz="0" w:space="0" w:color="auto"/>
          </w:divBdr>
        </w:div>
        <w:div w:id="1108231104">
          <w:marLeft w:val="0"/>
          <w:marRight w:val="0"/>
          <w:marTop w:val="0"/>
          <w:marBottom w:val="0"/>
          <w:divBdr>
            <w:top w:val="none" w:sz="0" w:space="0" w:color="auto"/>
            <w:left w:val="none" w:sz="0" w:space="0" w:color="auto"/>
            <w:bottom w:val="none" w:sz="0" w:space="0" w:color="auto"/>
            <w:right w:val="none" w:sz="0" w:space="0" w:color="auto"/>
          </w:divBdr>
        </w:div>
        <w:div w:id="824591422">
          <w:marLeft w:val="0"/>
          <w:marRight w:val="0"/>
          <w:marTop w:val="0"/>
          <w:marBottom w:val="0"/>
          <w:divBdr>
            <w:top w:val="none" w:sz="0" w:space="0" w:color="auto"/>
            <w:left w:val="none" w:sz="0" w:space="0" w:color="auto"/>
            <w:bottom w:val="none" w:sz="0" w:space="0" w:color="auto"/>
            <w:right w:val="none" w:sz="0" w:space="0" w:color="auto"/>
          </w:divBdr>
        </w:div>
        <w:div w:id="638732216">
          <w:marLeft w:val="0"/>
          <w:marRight w:val="0"/>
          <w:marTop w:val="0"/>
          <w:marBottom w:val="0"/>
          <w:divBdr>
            <w:top w:val="none" w:sz="0" w:space="0" w:color="auto"/>
            <w:left w:val="none" w:sz="0" w:space="0" w:color="auto"/>
            <w:bottom w:val="none" w:sz="0" w:space="0" w:color="auto"/>
            <w:right w:val="none" w:sz="0" w:space="0" w:color="auto"/>
          </w:divBdr>
        </w:div>
        <w:div w:id="2136633245">
          <w:marLeft w:val="0"/>
          <w:marRight w:val="0"/>
          <w:marTop w:val="0"/>
          <w:marBottom w:val="0"/>
          <w:divBdr>
            <w:top w:val="none" w:sz="0" w:space="0" w:color="auto"/>
            <w:left w:val="none" w:sz="0" w:space="0" w:color="auto"/>
            <w:bottom w:val="none" w:sz="0" w:space="0" w:color="auto"/>
            <w:right w:val="none" w:sz="0" w:space="0" w:color="auto"/>
          </w:divBdr>
        </w:div>
        <w:div w:id="1908998454">
          <w:marLeft w:val="0"/>
          <w:marRight w:val="0"/>
          <w:marTop w:val="0"/>
          <w:marBottom w:val="0"/>
          <w:divBdr>
            <w:top w:val="none" w:sz="0" w:space="0" w:color="auto"/>
            <w:left w:val="none" w:sz="0" w:space="0" w:color="auto"/>
            <w:bottom w:val="none" w:sz="0" w:space="0" w:color="auto"/>
            <w:right w:val="none" w:sz="0" w:space="0" w:color="auto"/>
          </w:divBdr>
        </w:div>
      </w:divsChild>
    </w:div>
    <w:div w:id="961962033">
      <w:bodyDiv w:val="1"/>
      <w:marLeft w:val="0"/>
      <w:marRight w:val="0"/>
      <w:marTop w:val="0"/>
      <w:marBottom w:val="0"/>
      <w:divBdr>
        <w:top w:val="none" w:sz="0" w:space="0" w:color="auto"/>
        <w:left w:val="none" w:sz="0" w:space="0" w:color="auto"/>
        <w:bottom w:val="none" w:sz="0" w:space="0" w:color="auto"/>
        <w:right w:val="none" w:sz="0" w:space="0" w:color="auto"/>
      </w:divBdr>
    </w:div>
    <w:div w:id="1042175757">
      <w:bodyDiv w:val="1"/>
      <w:marLeft w:val="0"/>
      <w:marRight w:val="0"/>
      <w:marTop w:val="0"/>
      <w:marBottom w:val="0"/>
      <w:divBdr>
        <w:top w:val="none" w:sz="0" w:space="0" w:color="auto"/>
        <w:left w:val="none" w:sz="0" w:space="0" w:color="auto"/>
        <w:bottom w:val="none" w:sz="0" w:space="0" w:color="auto"/>
        <w:right w:val="none" w:sz="0" w:space="0" w:color="auto"/>
      </w:divBdr>
      <w:divsChild>
        <w:div w:id="1948806964">
          <w:marLeft w:val="0"/>
          <w:marRight w:val="0"/>
          <w:marTop w:val="0"/>
          <w:marBottom w:val="0"/>
          <w:divBdr>
            <w:top w:val="none" w:sz="0" w:space="0" w:color="auto"/>
            <w:left w:val="none" w:sz="0" w:space="0" w:color="auto"/>
            <w:bottom w:val="none" w:sz="0" w:space="0" w:color="auto"/>
            <w:right w:val="none" w:sz="0" w:space="0" w:color="auto"/>
          </w:divBdr>
          <w:divsChild>
            <w:div w:id="1184393690">
              <w:marLeft w:val="0"/>
              <w:marRight w:val="0"/>
              <w:marTop w:val="0"/>
              <w:marBottom w:val="0"/>
              <w:divBdr>
                <w:top w:val="none" w:sz="0" w:space="0" w:color="auto"/>
                <w:left w:val="none" w:sz="0" w:space="0" w:color="auto"/>
                <w:bottom w:val="none" w:sz="0" w:space="0" w:color="auto"/>
                <w:right w:val="none" w:sz="0" w:space="0" w:color="auto"/>
              </w:divBdr>
              <w:divsChild>
                <w:div w:id="19419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02985">
      <w:bodyDiv w:val="1"/>
      <w:marLeft w:val="0"/>
      <w:marRight w:val="0"/>
      <w:marTop w:val="0"/>
      <w:marBottom w:val="0"/>
      <w:divBdr>
        <w:top w:val="none" w:sz="0" w:space="0" w:color="auto"/>
        <w:left w:val="none" w:sz="0" w:space="0" w:color="auto"/>
        <w:bottom w:val="none" w:sz="0" w:space="0" w:color="auto"/>
        <w:right w:val="none" w:sz="0" w:space="0" w:color="auto"/>
      </w:divBdr>
    </w:div>
    <w:div w:id="1112481172">
      <w:bodyDiv w:val="1"/>
      <w:marLeft w:val="0"/>
      <w:marRight w:val="0"/>
      <w:marTop w:val="0"/>
      <w:marBottom w:val="0"/>
      <w:divBdr>
        <w:top w:val="none" w:sz="0" w:space="0" w:color="auto"/>
        <w:left w:val="none" w:sz="0" w:space="0" w:color="auto"/>
        <w:bottom w:val="none" w:sz="0" w:space="0" w:color="auto"/>
        <w:right w:val="none" w:sz="0" w:space="0" w:color="auto"/>
      </w:divBdr>
    </w:div>
    <w:div w:id="1177109689">
      <w:bodyDiv w:val="1"/>
      <w:marLeft w:val="0"/>
      <w:marRight w:val="0"/>
      <w:marTop w:val="0"/>
      <w:marBottom w:val="0"/>
      <w:divBdr>
        <w:top w:val="none" w:sz="0" w:space="0" w:color="auto"/>
        <w:left w:val="none" w:sz="0" w:space="0" w:color="auto"/>
        <w:bottom w:val="none" w:sz="0" w:space="0" w:color="auto"/>
        <w:right w:val="none" w:sz="0" w:space="0" w:color="auto"/>
      </w:divBdr>
      <w:divsChild>
        <w:div w:id="668799272">
          <w:marLeft w:val="240"/>
          <w:marRight w:val="0"/>
          <w:marTop w:val="60"/>
          <w:marBottom w:val="60"/>
          <w:divBdr>
            <w:top w:val="none" w:sz="0" w:space="0" w:color="auto"/>
            <w:left w:val="none" w:sz="0" w:space="0" w:color="auto"/>
            <w:bottom w:val="none" w:sz="0" w:space="0" w:color="auto"/>
            <w:right w:val="none" w:sz="0" w:space="0" w:color="auto"/>
          </w:divBdr>
          <w:divsChild>
            <w:div w:id="2014722567">
              <w:marLeft w:val="0"/>
              <w:marRight w:val="0"/>
              <w:marTop w:val="0"/>
              <w:marBottom w:val="0"/>
              <w:divBdr>
                <w:top w:val="none" w:sz="0" w:space="0" w:color="auto"/>
                <w:left w:val="none" w:sz="0" w:space="0" w:color="auto"/>
                <w:bottom w:val="none" w:sz="0" w:space="0" w:color="auto"/>
                <w:right w:val="none" w:sz="0" w:space="0" w:color="auto"/>
              </w:divBdr>
            </w:div>
          </w:divsChild>
        </w:div>
        <w:div w:id="1087193943">
          <w:marLeft w:val="240"/>
          <w:marRight w:val="0"/>
          <w:marTop w:val="60"/>
          <w:marBottom w:val="60"/>
          <w:divBdr>
            <w:top w:val="none" w:sz="0" w:space="0" w:color="auto"/>
            <w:left w:val="none" w:sz="0" w:space="0" w:color="auto"/>
            <w:bottom w:val="none" w:sz="0" w:space="0" w:color="auto"/>
            <w:right w:val="none" w:sz="0" w:space="0" w:color="auto"/>
          </w:divBdr>
          <w:divsChild>
            <w:div w:id="1112750422">
              <w:marLeft w:val="0"/>
              <w:marRight w:val="0"/>
              <w:marTop w:val="0"/>
              <w:marBottom w:val="0"/>
              <w:divBdr>
                <w:top w:val="none" w:sz="0" w:space="0" w:color="auto"/>
                <w:left w:val="none" w:sz="0" w:space="0" w:color="auto"/>
                <w:bottom w:val="none" w:sz="0" w:space="0" w:color="auto"/>
                <w:right w:val="none" w:sz="0" w:space="0" w:color="auto"/>
              </w:divBdr>
            </w:div>
          </w:divsChild>
        </w:div>
        <w:div w:id="295378003">
          <w:marLeft w:val="240"/>
          <w:marRight w:val="0"/>
          <w:marTop w:val="60"/>
          <w:marBottom w:val="60"/>
          <w:divBdr>
            <w:top w:val="none" w:sz="0" w:space="0" w:color="auto"/>
            <w:left w:val="none" w:sz="0" w:space="0" w:color="auto"/>
            <w:bottom w:val="none" w:sz="0" w:space="0" w:color="auto"/>
            <w:right w:val="none" w:sz="0" w:space="0" w:color="auto"/>
          </w:divBdr>
          <w:divsChild>
            <w:div w:id="229392796">
              <w:marLeft w:val="0"/>
              <w:marRight w:val="0"/>
              <w:marTop w:val="0"/>
              <w:marBottom w:val="0"/>
              <w:divBdr>
                <w:top w:val="none" w:sz="0" w:space="0" w:color="auto"/>
                <w:left w:val="none" w:sz="0" w:space="0" w:color="auto"/>
                <w:bottom w:val="none" w:sz="0" w:space="0" w:color="auto"/>
                <w:right w:val="none" w:sz="0" w:space="0" w:color="auto"/>
              </w:divBdr>
            </w:div>
          </w:divsChild>
        </w:div>
        <w:div w:id="1129977827">
          <w:marLeft w:val="240"/>
          <w:marRight w:val="0"/>
          <w:marTop w:val="60"/>
          <w:marBottom w:val="60"/>
          <w:divBdr>
            <w:top w:val="none" w:sz="0" w:space="0" w:color="auto"/>
            <w:left w:val="none" w:sz="0" w:space="0" w:color="auto"/>
            <w:bottom w:val="none" w:sz="0" w:space="0" w:color="auto"/>
            <w:right w:val="none" w:sz="0" w:space="0" w:color="auto"/>
          </w:divBdr>
          <w:divsChild>
            <w:div w:id="1060058801">
              <w:marLeft w:val="0"/>
              <w:marRight w:val="0"/>
              <w:marTop w:val="0"/>
              <w:marBottom w:val="0"/>
              <w:divBdr>
                <w:top w:val="none" w:sz="0" w:space="0" w:color="auto"/>
                <w:left w:val="none" w:sz="0" w:space="0" w:color="auto"/>
                <w:bottom w:val="none" w:sz="0" w:space="0" w:color="auto"/>
                <w:right w:val="none" w:sz="0" w:space="0" w:color="auto"/>
              </w:divBdr>
            </w:div>
          </w:divsChild>
        </w:div>
        <w:div w:id="759329379">
          <w:marLeft w:val="240"/>
          <w:marRight w:val="0"/>
          <w:marTop w:val="60"/>
          <w:marBottom w:val="60"/>
          <w:divBdr>
            <w:top w:val="none" w:sz="0" w:space="0" w:color="auto"/>
            <w:left w:val="none" w:sz="0" w:space="0" w:color="auto"/>
            <w:bottom w:val="none" w:sz="0" w:space="0" w:color="auto"/>
            <w:right w:val="none" w:sz="0" w:space="0" w:color="auto"/>
          </w:divBdr>
          <w:divsChild>
            <w:div w:id="1954172274">
              <w:marLeft w:val="0"/>
              <w:marRight w:val="0"/>
              <w:marTop w:val="0"/>
              <w:marBottom w:val="0"/>
              <w:divBdr>
                <w:top w:val="none" w:sz="0" w:space="0" w:color="auto"/>
                <w:left w:val="none" w:sz="0" w:space="0" w:color="auto"/>
                <w:bottom w:val="none" w:sz="0" w:space="0" w:color="auto"/>
                <w:right w:val="none" w:sz="0" w:space="0" w:color="auto"/>
              </w:divBdr>
            </w:div>
          </w:divsChild>
        </w:div>
        <w:div w:id="1829400040">
          <w:marLeft w:val="240"/>
          <w:marRight w:val="0"/>
          <w:marTop w:val="60"/>
          <w:marBottom w:val="60"/>
          <w:divBdr>
            <w:top w:val="none" w:sz="0" w:space="0" w:color="auto"/>
            <w:left w:val="none" w:sz="0" w:space="0" w:color="auto"/>
            <w:bottom w:val="none" w:sz="0" w:space="0" w:color="auto"/>
            <w:right w:val="none" w:sz="0" w:space="0" w:color="auto"/>
          </w:divBdr>
          <w:divsChild>
            <w:div w:id="1839345660">
              <w:marLeft w:val="0"/>
              <w:marRight w:val="0"/>
              <w:marTop w:val="0"/>
              <w:marBottom w:val="0"/>
              <w:divBdr>
                <w:top w:val="none" w:sz="0" w:space="0" w:color="auto"/>
                <w:left w:val="none" w:sz="0" w:space="0" w:color="auto"/>
                <w:bottom w:val="none" w:sz="0" w:space="0" w:color="auto"/>
                <w:right w:val="none" w:sz="0" w:space="0" w:color="auto"/>
              </w:divBdr>
            </w:div>
          </w:divsChild>
        </w:div>
        <w:div w:id="1143933539">
          <w:marLeft w:val="240"/>
          <w:marRight w:val="0"/>
          <w:marTop w:val="60"/>
          <w:marBottom w:val="60"/>
          <w:divBdr>
            <w:top w:val="none" w:sz="0" w:space="0" w:color="auto"/>
            <w:left w:val="none" w:sz="0" w:space="0" w:color="auto"/>
            <w:bottom w:val="none" w:sz="0" w:space="0" w:color="auto"/>
            <w:right w:val="none" w:sz="0" w:space="0" w:color="auto"/>
          </w:divBdr>
          <w:divsChild>
            <w:div w:id="2005888193">
              <w:marLeft w:val="0"/>
              <w:marRight w:val="0"/>
              <w:marTop w:val="0"/>
              <w:marBottom w:val="0"/>
              <w:divBdr>
                <w:top w:val="none" w:sz="0" w:space="0" w:color="auto"/>
                <w:left w:val="none" w:sz="0" w:space="0" w:color="auto"/>
                <w:bottom w:val="none" w:sz="0" w:space="0" w:color="auto"/>
                <w:right w:val="none" w:sz="0" w:space="0" w:color="auto"/>
              </w:divBdr>
            </w:div>
          </w:divsChild>
        </w:div>
        <w:div w:id="429279052">
          <w:marLeft w:val="240"/>
          <w:marRight w:val="0"/>
          <w:marTop w:val="60"/>
          <w:marBottom w:val="60"/>
          <w:divBdr>
            <w:top w:val="none" w:sz="0" w:space="0" w:color="auto"/>
            <w:left w:val="none" w:sz="0" w:space="0" w:color="auto"/>
            <w:bottom w:val="none" w:sz="0" w:space="0" w:color="auto"/>
            <w:right w:val="none" w:sz="0" w:space="0" w:color="auto"/>
          </w:divBdr>
          <w:divsChild>
            <w:div w:id="21170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04493">
      <w:bodyDiv w:val="1"/>
      <w:marLeft w:val="0"/>
      <w:marRight w:val="0"/>
      <w:marTop w:val="0"/>
      <w:marBottom w:val="0"/>
      <w:divBdr>
        <w:top w:val="none" w:sz="0" w:space="0" w:color="auto"/>
        <w:left w:val="none" w:sz="0" w:space="0" w:color="auto"/>
        <w:bottom w:val="none" w:sz="0" w:space="0" w:color="auto"/>
        <w:right w:val="none" w:sz="0" w:space="0" w:color="auto"/>
      </w:divBdr>
    </w:div>
    <w:div w:id="1342854417">
      <w:bodyDiv w:val="1"/>
      <w:marLeft w:val="0"/>
      <w:marRight w:val="0"/>
      <w:marTop w:val="0"/>
      <w:marBottom w:val="0"/>
      <w:divBdr>
        <w:top w:val="none" w:sz="0" w:space="0" w:color="auto"/>
        <w:left w:val="none" w:sz="0" w:space="0" w:color="auto"/>
        <w:bottom w:val="none" w:sz="0" w:space="0" w:color="auto"/>
        <w:right w:val="none" w:sz="0" w:space="0" w:color="auto"/>
      </w:divBdr>
      <w:divsChild>
        <w:div w:id="1454398500">
          <w:marLeft w:val="240"/>
          <w:marRight w:val="0"/>
          <w:marTop w:val="60"/>
          <w:marBottom w:val="60"/>
          <w:divBdr>
            <w:top w:val="none" w:sz="0" w:space="0" w:color="auto"/>
            <w:left w:val="none" w:sz="0" w:space="0" w:color="auto"/>
            <w:bottom w:val="none" w:sz="0" w:space="0" w:color="auto"/>
            <w:right w:val="none" w:sz="0" w:space="0" w:color="auto"/>
          </w:divBdr>
          <w:divsChild>
            <w:div w:id="983240697">
              <w:marLeft w:val="0"/>
              <w:marRight w:val="0"/>
              <w:marTop w:val="0"/>
              <w:marBottom w:val="0"/>
              <w:divBdr>
                <w:top w:val="none" w:sz="0" w:space="0" w:color="auto"/>
                <w:left w:val="none" w:sz="0" w:space="0" w:color="auto"/>
                <w:bottom w:val="none" w:sz="0" w:space="0" w:color="auto"/>
                <w:right w:val="none" w:sz="0" w:space="0" w:color="auto"/>
              </w:divBdr>
            </w:div>
          </w:divsChild>
        </w:div>
        <w:div w:id="752822169">
          <w:marLeft w:val="240"/>
          <w:marRight w:val="0"/>
          <w:marTop w:val="60"/>
          <w:marBottom w:val="60"/>
          <w:divBdr>
            <w:top w:val="none" w:sz="0" w:space="0" w:color="auto"/>
            <w:left w:val="none" w:sz="0" w:space="0" w:color="auto"/>
            <w:bottom w:val="none" w:sz="0" w:space="0" w:color="auto"/>
            <w:right w:val="none" w:sz="0" w:space="0" w:color="auto"/>
          </w:divBdr>
          <w:divsChild>
            <w:div w:id="1636377160">
              <w:marLeft w:val="0"/>
              <w:marRight w:val="0"/>
              <w:marTop w:val="0"/>
              <w:marBottom w:val="0"/>
              <w:divBdr>
                <w:top w:val="none" w:sz="0" w:space="0" w:color="auto"/>
                <w:left w:val="none" w:sz="0" w:space="0" w:color="auto"/>
                <w:bottom w:val="none" w:sz="0" w:space="0" w:color="auto"/>
                <w:right w:val="none" w:sz="0" w:space="0" w:color="auto"/>
              </w:divBdr>
            </w:div>
          </w:divsChild>
        </w:div>
        <w:div w:id="566720525">
          <w:marLeft w:val="240"/>
          <w:marRight w:val="0"/>
          <w:marTop w:val="60"/>
          <w:marBottom w:val="60"/>
          <w:divBdr>
            <w:top w:val="none" w:sz="0" w:space="0" w:color="auto"/>
            <w:left w:val="none" w:sz="0" w:space="0" w:color="auto"/>
            <w:bottom w:val="none" w:sz="0" w:space="0" w:color="auto"/>
            <w:right w:val="none" w:sz="0" w:space="0" w:color="auto"/>
          </w:divBdr>
          <w:divsChild>
            <w:div w:id="541984989">
              <w:marLeft w:val="0"/>
              <w:marRight w:val="0"/>
              <w:marTop w:val="0"/>
              <w:marBottom w:val="0"/>
              <w:divBdr>
                <w:top w:val="none" w:sz="0" w:space="0" w:color="auto"/>
                <w:left w:val="none" w:sz="0" w:space="0" w:color="auto"/>
                <w:bottom w:val="none" w:sz="0" w:space="0" w:color="auto"/>
                <w:right w:val="none" w:sz="0" w:space="0" w:color="auto"/>
              </w:divBdr>
            </w:div>
          </w:divsChild>
        </w:div>
        <w:div w:id="698510231">
          <w:marLeft w:val="240"/>
          <w:marRight w:val="0"/>
          <w:marTop w:val="60"/>
          <w:marBottom w:val="60"/>
          <w:divBdr>
            <w:top w:val="none" w:sz="0" w:space="0" w:color="auto"/>
            <w:left w:val="none" w:sz="0" w:space="0" w:color="auto"/>
            <w:bottom w:val="none" w:sz="0" w:space="0" w:color="auto"/>
            <w:right w:val="none" w:sz="0" w:space="0" w:color="auto"/>
          </w:divBdr>
          <w:divsChild>
            <w:div w:id="768040384">
              <w:marLeft w:val="0"/>
              <w:marRight w:val="0"/>
              <w:marTop w:val="0"/>
              <w:marBottom w:val="0"/>
              <w:divBdr>
                <w:top w:val="none" w:sz="0" w:space="0" w:color="auto"/>
                <w:left w:val="none" w:sz="0" w:space="0" w:color="auto"/>
                <w:bottom w:val="none" w:sz="0" w:space="0" w:color="auto"/>
                <w:right w:val="none" w:sz="0" w:space="0" w:color="auto"/>
              </w:divBdr>
            </w:div>
          </w:divsChild>
        </w:div>
        <w:div w:id="1771242967">
          <w:marLeft w:val="240"/>
          <w:marRight w:val="0"/>
          <w:marTop w:val="60"/>
          <w:marBottom w:val="60"/>
          <w:divBdr>
            <w:top w:val="none" w:sz="0" w:space="0" w:color="auto"/>
            <w:left w:val="none" w:sz="0" w:space="0" w:color="auto"/>
            <w:bottom w:val="none" w:sz="0" w:space="0" w:color="auto"/>
            <w:right w:val="none" w:sz="0" w:space="0" w:color="auto"/>
          </w:divBdr>
          <w:divsChild>
            <w:div w:id="647709083">
              <w:marLeft w:val="0"/>
              <w:marRight w:val="0"/>
              <w:marTop w:val="0"/>
              <w:marBottom w:val="0"/>
              <w:divBdr>
                <w:top w:val="none" w:sz="0" w:space="0" w:color="auto"/>
                <w:left w:val="none" w:sz="0" w:space="0" w:color="auto"/>
                <w:bottom w:val="none" w:sz="0" w:space="0" w:color="auto"/>
                <w:right w:val="none" w:sz="0" w:space="0" w:color="auto"/>
              </w:divBdr>
            </w:div>
          </w:divsChild>
        </w:div>
        <w:div w:id="1453867558">
          <w:marLeft w:val="240"/>
          <w:marRight w:val="0"/>
          <w:marTop w:val="60"/>
          <w:marBottom w:val="60"/>
          <w:divBdr>
            <w:top w:val="none" w:sz="0" w:space="0" w:color="auto"/>
            <w:left w:val="none" w:sz="0" w:space="0" w:color="auto"/>
            <w:bottom w:val="none" w:sz="0" w:space="0" w:color="auto"/>
            <w:right w:val="none" w:sz="0" w:space="0" w:color="auto"/>
          </w:divBdr>
          <w:divsChild>
            <w:div w:id="88240602">
              <w:marLeft w:val="0"/>
              <w:marRight w:val="0"/>
              <w:marTop w:val="0"/>
              <w:marBottom w:val="0"/>
              <w:divBdr>
                <w:top w:val="none" w:sz="0" w:space="0" w:color="auto"/>
                <w:left w:val="none" w:sz="0" w:space="0" w:color="auto"/>
                <w:bottom w:val="none" w:sz="0" w:space="0" w:color="auto"/>
                <w:right w:val="none" w:sz="0" w:space="0" w:color="auto"/>
              </w:divBdr>
            </w:div>
          </w:divsChild>
        </w:div>
        <w:div w:id="13700287">
          <w:marLeft w:val="240"/>
          <w:marRight w:val="0"/>
          <w:marTop w:val="60"/>
          <w:marBottom w:val="60"/>
          <w:divBdr>
            <w:top w:val="none" w:sz="0" w:space="0" w:color="auto"/>
            <w:left w:val="none" w:sz="0" w:space="0" w:color="auto"/>
            <w:bottom w:val="none" w:sz="0" w:space="0" w:color="auto"/>
            <w:right w:val="none" w:sz="0" w:space="0" w:color="auto"/>
          </w:divBdr>
          <w:divsChild>
            <w:div w:id="1344480719">
              <w:marLeft w:val="0"/>
              <w:marRight w:val="0"/>
              <w:marTop w:val="0"/>
              <w:marBottom w:val="0"/>
              <w:divBdr>
                <w:top w:val="none" w:sz="0" w:space="0" w:color="auto"/>
                <w:left w:val="none" w:sz="0" w:space="0" w:color="auto"/>
                <w:bottom w:val="none" w:sz="0" w:space="0" w:color="auto"/>
                <w:right w:val="none" w:sz="0" w:space="0" w:color="auto"/>
              </w:divBdr>
            </w:div>
          </w:divsChild>
        </w:div>
        <w:div w:id="514078462">
          <w:marLeft w:val="240"/>
          <w:marRight w:val="0"/>
          <w:marTop w:val="60"/>
          <w:marBottom w:val="60"/>
          <w:divBdr>
            <w:top w:val="none" w:sz="0" w:space="0" w:color="auto"/>
            <w:left w:val="none" w:sz="0" w:space="0" w:color="auto"/>
            <w:bottom w:val="none" w:sz="0" w:space="0" w:color="auto"/>
            <w:right w:val="none" w:sz="0" w:space="0" w:color="auto"/>
          </w:divBdr>
          <w:divsChild>
            <w:div w:id="2611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89270">
      <w:bodyDiv w:val="1"/>
      <w:marLeft w:val="0"/>
      <w:marRight w:val="0"/>
      <w:marTop w:val="0"/>
      <w:marBottom w:val="0"/>
      <w:divBdr>
        <w:top w:val="none" w:sz="0" w:space="0" w:color="auto"/>
        <w:left w:val="none" w:sz="0" w:space="0" w:color="auto"/>
        <w:bottom w:val="none" w:sz="0" w:space="0" w:color="auto"/>
        <w:right w:val="none" w:sz="0" w:space="0" w:color="auto"/>
      </w:divBdr>
      <w:divsChild>
        <w:div w:id="1071853780">
          <w:marLeft w:val="0"/>
          <w:marRight w:val="0"/>
          <w:marTop w:val="0"/>
          <w:marBottom w:val="0"/>
          <w:divBdr>
            <w:top w:val="none" w:sz="0" w:space="0" w:color="auto"/>
            <w:left w:val="none" w:sz="0" w:space="0" w:color="auto"/>
            <w:bottom w:val="none" w:sz="0" w:space="0" w:color="auto"/>
            <w:right w:val="none" w:sz="0" w:space="0" w:color="auto"/>
          </w:divBdr>
        </w:div>
        <w:div w:id="1923492836">
          <w:marLeft w:val="0"/>
          <w:marRight w:val="0"/>
          <w:marTop w:val="0"/>
          <w:marBottom w:val="0"/>
          <w:divBdr>
            <w:top w:val="none" w:sz="0" w:space="0" w:color="auto"/>
            <w:left w:val="none" w:sz="0" w:space="0" w:color="auto"/>
            <w:bottom w:val="none" w:sz="0" w:space="0" w:color="auto"/>
            <w:right w:val="none" w:sz="0" w:space="0" w:color="auto"/>
          </w:divBdr>
          <w:divsChild>
            <w:div w:id="1042751560">
              <w:marLeft w:val="0"/>
              <w:marRight w:val="0"/>
              <w:marTop w:val="0"/>
              <w:marBottom w:val="0"/>
              <w:divBdr>
                <w:top w:val="none" w:sz="0" w:space="0" w:color="auto"/>
                <w:left w:val="none" w:sz="0" w:space="0" w:color="auto"/>
                <w:bottom w:val="none" w:sz="0" w:space="0" w:color="auto"/>
                <w:right w:val="none" w:sz="0" w:space="0" w:color="auto"/>
              </w:divBdr>
            </w:div>
            <w:div w:id="19746066">
              <w:marLeft w:val="0"/>
              <w:marRight w:val="0"/>
              <w:marTop w:val="0"/>
              <w:marBottom w:val="0"/>
              <w:divBdr>
                <w:top w:val="none" w:sz="0" w:space="0" w:color="auto"/>
                <w:left w:val="none" w:sz="0" w:space="0" w:color="auto"/>
                <w:bottom w:val="none" w:sz="0" w:space="0" w:color="auto"/>
                <w:right w:val="none" w:sz="0" w:space="0" w:color="auto"/>
              </w:divBdr>
            </w:div>
            <w:div w:id="1309747049">
              <w:marLeft w:val="0"/>
              <w:marRight w:val="0"/>
              <w:marTop w:val="0"/>
              <w:marBottom w:val="0"/>
              <w:divBdr>
                <w:top w:val="none" w:sz="0" w:space="0" w:color="auto"/>
                <w:left w:val="none" w:sz="0" w:space="0" w:color="auto"/>
                <w:bottom w:val="none" w:sz="0" w:space="0" w:color="auto"/>
                <w:right w:val="none" w:sz="0" w:space="0" w:color="auto"/>
              </w:divBdr>
            </w:div>
            <w:div w:id="17529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28591">
      <w:bodyDiv w:val="1"/>
      <w:marLeft w:val="0"/>
      <w:marRight w:val="0"/>
      <w:marTop w:val="0"/>
      <w:marBottom w:val="0"/>
      <w:divBdr>
        <w:top w:val="none" w:sz="0" w:space="0" w:color="auto"/>
        <w:left w:val="none" w:sz="0" w:space="0" w:color="auto"/>
        <w:bottom w:val="none" w:sz="0" w:space="0" w:color="auto"/>
        <w:right w:val="none" w:sz="0" w:space="0" w:color="auto"/>
      </w:divBdr>
    </w:div>
    <w:div w:id="1749764169">
      <w:bodyDiv w:val="1"/>
      <w:marLeft w:val="0"/>
      <w:marRight w:val="0"/>
      <w:marTop w:val="0"/>
      <w:marBottom w:val="0"/>
      <w:divBdr>
        <w:top w:val="none" w:sz="0" w:space="0" w:color="auto"/>
        <w:left w:val="none" w:sz="0" w:space="0" w:color="auto"/>
        <w:bottom w:val="none" w:sz="0" w:space="0" w:color="auto"/>
        <w:right w:val="none" w:sz="0" w:space="0" w:color="auto"/>
      </w:divBdr>
    </w:div>
    <w:div w:id="1863519315">
      <w:bodyDiv w:val="1"/>
      <w:marLeft w:val="0"/>
      <w:marRight w:val="0"/>
      <w:marTop w:val="0"/>
      <w:marBottom w:val="0"/>
      <w:divBdr>
        <w:top w:val="none" w:sz="0" w:space="0" w:color="auto"/>
        <w:left w:val="none" w:sz="0" w:space="0" w:color="auto"/>
        <w:bottom w:val="none" w:sz="0" w:space="0" w:color="auto"/>
        <w:right w:val="none" w:sz="0" w:space="0" w:color="auto"/>
      </w:divBdr>
    </w:div>
    <w:div w:id="1983610747">
      <w:bodyDiv w:val="1"/>
      <w:marLeft w:val="0"/>
      <w:marRight w:val="0"/>
      <w:marTop w:val="0"/>
      <w:marBottom w:val="0"/>
      <w:divBdr>
        <w:top w:val="none" w:sz="0" w:space="0" w:color="auto"/>
        <w:left w:val="none" w:sz="0" w:space="0" w:color="auto"/>
        <w:bottom w:val="none" w:sz="0" w:space="0" w:color="auto"/>
        <w:right w:val="none" w:sz="0" w:space="0" w:color="auto"/>
      </w:divBdr>
    </w:div>
    <w:div w:id="2089763638">
      <w:bodyDiv w:val="1"/>
      <w:marLeft w:val="0"/>
      <w:marRight w:val="0"/>
      <w:marTop w:val="0"/>
      <w:marBottom w:val="0"/>
      <w:divBdr>
        <w:top w:val="none" w:sz="0" w:space="0" w:color="auto"/>
        <w:left w:val="none" w:sz="0" w:space="0" w:color="auto"/>
        <w:bottom w:val="none" w:sz="0" w:space="0" w:color="auto"/>
        <w:right w:val="none" w:sz="0" w:space="0" w:color="auto"/>
      </w:divBdr>
      <w:divsChild>
        <w:div w:id="770703970">
          <w:marLeft w:val="0"/>
          <w:marRight w:val="0"/>
          <w:marTop w:val="0"/>
          <w:marBottom w:val="0"/>
          <w:divBdr>
            <w:top w:val="none" w:sz="0" w:space="0" w:color="auto"/>
            <w:left w:val="none" w:sz="0" w:space="0" w:color="auto"/>
            <w:bottom w:val="none" w:sz="0" w:space="0" w:color="auto"/>
            <w:right w:val="none" w:sz="0" w:space="0" w:color="auto"/>
          </w:divBdr>
          <w:divsChild>
            <w:div w:id="475143818">
              <w:marLeft w:val="0"/>
              <w:marRight w:val="0"/>
              <w:marTop w:val="0"/>
              <w:marBottom w:val="0"/>
              <w:divBdr>
                <w:top w:val="none" w:sz="0" w:space="0" w:color="auto"/>
                <w:left w:val="none" w:sz="0" w:space="0" w:color="auto"/>
                <w:bottom w:val="none" w:sz="0" w:space="0" w:color="auto"/>
                <w:right w:val="none" w:sz="0" w:space="0" w:color="auto"/>
              </w:divBdr>
              <w:divsChild>
                <w:div w:id="9121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B7CECA8CFF24E9E7EB89F4DC1ABAD" ma:contentTypeVersion="19" ma:contentTypeDescription="Create a new document." ma:contentTypeScope="" ma:versionID="69169e37759635123f18b87c52064118">
  <xsd:schema xmlns:xsd="http://www.w3.org/2001/XMLSchema" xmlns:xs="http://www.w3.org/2001/XMLSchema" xmlns:p="http://schemas.microsoft.com/office/2006/metadata/properties" xmlns:ns2="62b159ee-bfdf-40b8-9c72-5642e5ae5a75" xmlns:ns3="f24a5fdc-c332-4b2e-8502-19183697fd2a" targetNamespace="http://schemas.microsoft.com/office/2006/metadata/properties" ma:root="true" ma:fieldsID="4ec0e018941f2c8cdbc231a9a8a422bd" ns2:_="" ns3:_="">
    <xsd:import namespace="62b159ee-bfdf-40b8-9c72-5642e5ae5a75"/>
    <xsd:import namespace="f24a5fdc-c332-4b2e-8502-19183697fd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59ee-bfdf-40b8-9c72-5642e5ae5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63a7f2-0982-430c-9644-dd06a3d99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4a5fdc-c332-4b2e-8502-19183697fd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da0628-44c7-448f-81d8-07784bb6cc34}" ma:internalName="TaxCatchAll" ma:showField="CatchAllData" ma:web="f24a5fdc-c332-4b2e-8502-19183697f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4a5fdc-c332-4b2e-8502-19183697fd2a" xsi:nil="true"/>
    <lcf76f155ced4ddcb4097134ff3c332f xmlns="62b159ee-bfdf-40b8-9c72-5642e5ae5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B5E358-4025-419A-AEDA-036180FD6C29}"/>
</file>

<file path=customXml/itemProps2.xml><?xml version="1.0" encoding="utf-8"?>
<ds:datastoreItem xmlns:ds="http://schemas.openxmlformats.org/officeDocument/2006/customXml" ds:itemID="{20FBE138-D50A-4950-A089-530D14D2013E}"/>
</file>

<file path=customXml/itemProps3.xml><?xml version="1.0" encoding="utf-8"?>
<ds:datastoreItem xmlns:ds="http://schemas.openxmlformats.org/officeDocument/2006/customXml" ds:itemID="{7FFFBE9C-C19B-4F9C-825B-4A61C913CCCC}"/>
</file>

<file path=docProps/app.xml><?xml version="1.0" encoding="utf-8"?>
<Properties xmlns="http://schemas.openxmlformats.org/officeDocument/2006/extended-properties" xmlns:vt="http://schemas.openxmlformats.org/officeDocument/2006/docPropsVTypes">
  <Template>Normal</Template>
  <TotalTime>1</TotalTime>
  <Pages>8</Pages>
  <Words>2836</Words>
  <Characters>16171</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Spungen</dc:creator>
  <cp:keywords/>
  <dc:description/>
  <cp:lastModifiedBy>Dawn M. Federico, CGA</cp:lastModifiedBy>
  <cp:revision>2</cp:revision>
  <cp:lastPrinted>2025-09-15T12:57:00Z</cp:lastPrinted>
  <dcterms:created xsi:type="dcterms:W3CDTF">2025-09-15T19:27:00Z</dcterms:created>
  <dcterms:modified xsi:type="dcterms:W3CDTF">2025-09-15T19:27:00Z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0x01010092DB7CECA8CFF24E9E7EB89F4DC1ABAD</vt:lpwstr>
  </property>
</Properties>
</file>